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ascii="方正小标宋简体" w:hAnsi="宋体" w:eastAsia="方正小标宋简体" w:cs="宋体"/>
          <w:szCs w:val="32"/>
        </w:rPr>
      </w:pPr>
      <w:r>
        <w:rPr>
          <w:rFonts w:hint="eastAsia" w:ascii="方正小标宋简体" w:hAnsi="Arial" w:eastAsia="方正小标宋简体" w:cs="Arial"/>
          <w:bCs/>
          <w:sz w:val="48"/>
          <w:szCs w:val="24"/>
        </w:rPr>
        <w:t>金华-义乌-东阳市域轨道交通工程运营2022-2025年结构监测委外维保Ⅱ标（义东线）项目</w:t>
      </w: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r>
        <w:rPr>
          <w:rFonts w:hint="eastAsia" w:eastAsia="黑体"/>
          <w:b/>
          <w:spacing w:val="40"/>
          <w:sz w:val="84"/>
        </w:rPr>
        <w:t>用户需求书</w:t>
      </w: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ind w:firstLine="0" w:firstLineChars="0"/>
        <w:jc w:val="center"/>
        <w:rPr>
          <w:rFonts w:hint="eastAsia" w:ascii="方正小标宋简体" w:hAnsi="Arial" w:eastAsia="方正小标宋简体" w:cs="Arial"/>
          <w:szCs w:val="32"/>
        </w:rPr>
      </w:pPr>
      <w:r>
        <w:rPr>
          <w:rFonts w:hint="eastAsia" w:ascii="方正小标宋简体" w:hAnsi="Arial" w:eastAsia="方正小标宋简体" w:cs="Arial"/>
          <w:szCs w:val="32"/>
        </w:rPr>
        <w:t>金华市金义东轨道交通</w:t>
      </w:r>
      <w:r>
        <w:rPr>
          <w:rFonts w:hint="eastAsia" w:ascii="方正小标宋简体" w:hAnsi="Arial" w:eastAsia="方正小标宋简体" w:cs="Arial"/>
          <w:szCs w:val="32"/>
        </w:rPr>
        <w:t>有限公司</w:t>
      </w:r>
    </w:p>
    <w:p>
      <w:pPr>
        <w:ind w:firstLine="0" w:firstLineChars="0"/>
        <w:jc w:val="center"/>
        <w:rPr>
          <w:rFonts w:ascii="方正小标宋简体" w:hAnsi="Arial" w:eastAsia="方正小标宋简体" w:cs="Arial"/>
          <w:szCs w:val="32"/>
        </w:rPr>
      </w:pPr>
      <w:r>
        <w:rPr>
          <w:rFonts w:hint="eastAsia" w:ascii="方正小标宋简体" w:hAnsi="Arial" w:eastAsia="方正小标宋简体" w:cs="Arial"/>
          <w:szCs w:val="32"/>
        </w:rPr>
        <w:t>二〇二二年</w:t>
      </w:r>
      <w:r>
        <w:rPr>
          <w:rFonts w:hint="eastAsia" w:ascii="方正小标宋简体" w:hAnsi="Arial" w:eastAsia="方正小标宋简体" w:cs="Arial"/>
          <w:szCs w:val="32"/>
          <w:lang w:val="en-US" w:eastAsia="zh-CN"/>
        </w:rPr>
        <w:t>四</w:t>
      </w:r>
      <w:r>
        <w:rPr>
          <w:rFonts w:hint="eastAsia" w:ascii="方正小标宋简体" w:hAnsi="Arial" w:eastAsia="方正小标宋简体" w:cs="Arial"/>
          <w:szCs w:val="32"/>
        </w:rPr>
        <w:t>月</w:t>
      </w:r>
    </w:p>
    <w:p>
      <w:pPr>
        <w:pStyle w:val="4"/>
        <w:ind w:firstLine="640"/>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7" w:header="851" w:footer="992" w:gutter="0"/>
          <w:pgNumType w:fmt="upperRoman"/>
          <w:cols w:space="0" w:num="1"/>
          <w:docGrid w:type="lines" w:linePitch="440" w:charSpace="0"/>
        </w:sectPr>
      </w:pPr>
      <w:bookmarkStart w:id="73" w:name="_GoBack"/>
      <w:bookmarkEnd w:id="73"/>
      <w:bookmarkStart w:id="0" w:name="_Toc2882"/>
    </w:p>
    <w:sdt>
      <w:sdtPr>
        <w:rPr>
          <w:rFonts w:ascii="宋体" w:hAnsi="宋体" w:eastAsia="宋体"/>
          <w:sz w:val="21"/>
        </w:rPr>
        <w:id w:val="147470003"/>
        <w:docPartObj>
          <w:docPartGallery w:val="Table of Contents"/>
          <w:docPartUnique/>
        </w:docPartObj>
      </w:sdtPr>
      <w:sdtEndPr>
        <w:rPr>
          <w:rFonts w:ascii="宋体" w:hAnsi="宋体" w:eastAsia="宋体"/>
          <w:b/>
          <w:sz w:val="21"/>
        </w:rPr>
      </w:sdtEndPr>
      <w:sdtContent>
        <w:p>
          <w:pPr>
            <w:ind w:firstLine="0" w:firstLineChars="0"/>
            <w:jc w:val="center"/>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目录</w:t>
          </w:r>
        </w:p>
        <w:p>
          <w:pPr>
            <w:pStyle w:val="6"/>
            <w:ind w:firstLine="640"/>
          </w:pPr>
        </w:p>
        <w:p>
          <w:pPr>
            <w:pStyle w:val="12"/>
            <w:tabs>
              <w:tab w:val="right" w:leader="dot" w:pos="8845"/>
            </w:tabs>
            <w:ind w:firstLine="640"/>
            <w:rPr>
              <w:rFonts w:ascii="黑体" w:hAnsi="黑体" w:eastAsia="黑体" w:cs="黑体"/>
            </w:rPr>
          </w:pPr>
          <w:r>
            <w:rPr>
              <w:rFonts w:hint="eastAsia" w:ascii="仿宋_GB2312" w:hAnsi="仿宋_GB2312"/>
            </w:rPr>
            <w:fldChar w:fldCharType="begin"/>
          </w:r>
          <w:r>
            <w:rPr>
              <w:rFonts w:hint="eastAsia" w:ascii="仿宋_GB2312" w:hAnsi="仿宋_GB2312"/>
            </w:rPr>
            <w:instrText xml:space="preserve">TOC \o "1-2" \h \u </w:instrText>
          </w:r>
          <w:r>
            <w:rPr>
              <w:rFonts w:hint="eastAsia" w:ascii="仿宋_GB2312" w:hAnsi="仿宋_GB2312"/>
            </w:rPr>
            <w:fldChar w:fldCharType="separate"/>
          </w:r>
          <w:r>
            <w:fldChar w:fldCharType="begin"/>
          </w:r>
          <w:r>
            <w:instrText xml:space="preserve"> HYPERLINK \l "_Toc22266" </w:instrText>
          </w:r>
          <w:r>
            <w:fldChar w:fldCharType="separate"/>
          </w:r>
          <w:r>
            <w:rPr>
              <w:rFonts w:hint="eastAsia" w:ascii="黑体" w:hAnsi="黑体" w:eastAsia="黑体" w:cs="黑体"/>
              <w:szCs w:val="32"/>
            </w:rPr>
            <w:t>一、项目概况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_Toc22266 \h </w:instrText>
          </w:r>
          <w:r>
            <w:rPr>
              <w:rFonts w:hint="eastAsia" w:ascii="黑体" w:hAnsi="黑体" w:eastAsia="黑体" w:cs="黑体"/>
            </w:rPr>
            <w:fldChar w:fldCharType="separate"/>
          </w:r>
          <w:r>
            <w:rPr>
              <w:rFonts w:ascii="黑体" w:hAnsi="黑体" w:eastAsia="黑体" w:cs="黑体"/>
            </w:rPr>
            <w:t>- 1 -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"_Toc11384" </w:instrText>
          </w:r>
          <w:r>
            <w:fldChar w:fldCharType="separate"/>
          </w:r>
          <w:r>
            <w:rPr>
              <w:rFonts w:hint="eastAsia" w:ascii="黑体" w:hAnsi="黑体" w:eastAsia="黑体" w:cs="黑体"/>
            </w:rPr>
            <w:t>二、项目服务范围</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_Toc11384 \h </w:instrText>
          </w:r>
          <w:r>
            <w:rPr>
              <w:rFonts w:hint="eastAsia" w:ascii="黑体" w:hAnsi="黑体" w:eastAsia="黑体" w:cs="黑体"/>
            </w:rPr>
            <w:fldChar w:fldCharType="separate"/>
          </w:r>
          <w:r>
            <w:rPr>
              <w:rFonts w:ascii="黑体" w:hAnsi="黑体" w:eastAsia="黑体" w:cs="黑体"/>
            </w:rPr>
            <w:t>- 2 -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"_Toc4108" </w:instrText>
          </w:r>
          <w:r>
            <w:fldChar w:fldCharType="separate"/>
          </w:r>
          <w:r>
            <w:rPr>
              <w:rFonts w:hint="eastAsia" w:ascii="黑体" w:hAnsi="黑体" w:eastAsia="黑体" w:cs="黑体"/>
            </w:rPr>
            <w:t>三、监测标准技术规范及要求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_Toc4108 \h </w:instrText>
          </w:r>
          <w:r>
            <w:rPr>
              <w:rFonts w:hint="eastAsia" w:ascii="黑体" w:hAnsi="黑体" w:eastAsia="黑体" w:cs="黑体"/>
            </w:rPr>
            <w:fldChar w:fldCharType="separate"/>
          </w:r>
          <w:r>
            <w:rPr>
              <w:rFonts w:ascii="黑体" w:hAnsi="黑体" w:eastAsia="黑体" w:cs="黑体"/>
            </w:rPr>
            <w:t>- 2 -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"_Toc30939" </w:instrText>
          </w:r>
          <w:r>
            <w:fldChar w:fldCharType="separate"/>
          </w:r>
          <w:r>
            <w:rPr>
              <w:rFonts w:hint="eastAsia" w:ascii="黑体" w:hAnsi="黑体" w:eastAsia="黑体" w:cs="黑体"/>
            </w:rPr>
            <w:t>3.1监测制度</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_Toc30939 \h </w:instrText>
          </w:r>
          <w:r>
            <w:rPr>
              <w:rFonts w:hint="eastAsia" w:ascii="黑体" w:hAnsi="黑体" w:eastAsia="黑体" w:cs="黑体"/>
            </w:rPr>
            <w:fldChar w:fldCharType="separate"/>
          </w:r>
          <w:r>
            <w:rPr>
              <w:rFonts w:ascii="黑体" w:hAnsi="黑体" w:eastAsia="黑体" w:cs="黑体"/>
            </w:rPr>
            <w:t>- 2 -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"_Toc1211" </w:instrText>
          </w:r>
          <w:r>
            <w:fldChar w:fldCharType="separate"/>
          </w:r>
          <w:r>
            <w:rPr>
              <w:rFonts w:hint="eastAsia" w:ascii="黑体" w:hAnsi="黑体" w:eastAsia="黑体" w:cs="黑体"/>
            </w:rPr>
            <w:t>3.2相关技术规范</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_Toc1211 \h </w:instrText>
          </w:r>
          <w:r>
            <w:rPr>
              <w:rFonts w:hint="eastAsia" w:ascii="黑体" w:hAnsi="黑体" w:eastAsia="黑体" w:cs="黑体"/>
            </w:rPr>
            <w:fldChar w:fldCharType="separate"/>
          </w:r>
          <w:r>
            <w:rPr>
              <w:rFonts w:ascii="黑体" w:hAnsi="黑体" w:eastAsia="黑体" w:cs="黑体"/>
            </w:rPr>
            <w:t>- 2 -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"_Toc19299" </w:instrText>
          </w:r>
          <w:r>
            <w:fldChar w:fldCharType="separate"/>
          </w:r>
          <w:r>
            <w:rPr>
              <w:rFonts w:hint="eastAsia" w:ascii="黑体" w:hAnsi="黑体" w:eastAsia="黑体" w:cs="黑体"/>
            </w:rPr>
            <w:t>四、 监测模式和具体监测内容及要求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_Toc19299 \h </w:instrText>
          </w:r>
          <w:r>
            <w:rPr>
              <w:rFonts w:hint="eastAsia" w:ascii="黑体" w:hAnsi="黑体" w:eastAsia="黑体" w:cs="黑体"/>
            </w:rPr>
            <w:fldChar w:fldCharType="separate"/>
          </w:r>
          <w:r>
            <w:rPr>
              <w:rFonts w:ascii="黑体" w:hAnsi="黑体" w:eastAsia="黑体" w:cs="黑体"/>
            </w:rPr>
            <w:t>- 3 -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"_Toc16645" </w:instrText>
          </w:r>
          <w:r>
            <w:fldChar w:fldCharType="separate"/>
          </w:r>
          <w:r>
            <w:rPr>
              <w:rFonts w:hint="eastAsia" w:ascii="黑体" w:hAnsi="黑体" w:eastAsia="黑体" w:cs="黑体"/>
            </w:rPr>
            <w:t>4.1监测模式</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_Toc16645 \h </w:instrText>
          </w:r>
          <w:r>
            <w:rPr>
              <w:rFonts w:hint="eastAsia" w:ascii="黑体" w:hAnsi="黑体" w:eastAsia="黑体" w:cs="黑体"/>
            </w:rPr>
            <w:fldChar w:fldCharType="separate"/>
          </w:r>
          <w:r>
            <w:rPr>
              <w:rFonts w:ascii="黑体" w:hAnsi="黑体" w:eastAsia="黑体" w:cs="黑体"/>
            </w:rPr>
            <w:t>- 3 -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"_Toc10753" </w:instrText>
          </w:r>
          <w:r>
            <w:fldChar w:fldCharType="separate"/>
          </w:r>
          <w:r>
            <w:rPr>
              <w:rFonts w:hint="eastAsia" w:ascii="黑体" w:hAnsi="黑体" w:eastAsia="黑体" w:cs="黑体"/>
            </w:rPr>
            <w:t>4.2结构监测具体内容</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_Toc10753 \h </w:instrText>
          </w:r>
          <w:r>
            <w:rPr>
              <w:rFonts w:hint="eastAsia" w:ascii="黑体" w:hAnsi="黑体" w:eastAsia="黑体" w:cs="黑体"/>
            </w:rPr>
            <w:fldChar w:fldCharType="separate"/>
          </w:r>
          <w:r>
            <w:rPr>
              <w:rFonts w:ascii="黑体" w:hAnsi="黑体" w:eastAsia="黑体" w:cs="黑体"/>
            </w:rPr>
            <w:t>- 4 -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"_Toc23895" </w:instrText>
          </w:r>
          <w:r>
            <w:fldChar w:fldCharType="separate"/>
          </w:r>
          <w:r>
            <w:rPr>
              <w:rFonts w:hint="eastAsia" w:ascii="黑体" w:hAnsi="黑体" w:eastAsia="黑体" w:cs="黑体"/>
            </w:rPr>
            <w:t>4.3结构监测布点要求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_Toc23895 \h </w:instrText>
          </w:r>
          <w:r>
            <w:rPr>
              <w:rFonts w:hint="eastAsia" w:ascii="黑体" w:hAnsi="黑体" w:eastAsia="黑体" w:cs="黑体"/>
            </w:rPr>
            <w:fldChar w:fldCharType="separate"/>
          </w:r>
          <w:r>
            <w:rPr>
              <w:rFonts w:ascii="黑体" w:hAnsi="黑体" w:eastAsia="黑体" w:cs="黑体"/>
            </w:rPr>
            <w:t>- 5 -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"_Toc21671" </w:instrText>
          </w:r>
          <w:r>
            <w:fldChar w:fldCharType="separate"/>
          </w:r>
          <w:r>
            <w:rPr>
              <w:rFonts w:hint="eastAsia" w:ascii="黑体" w:hAnsi="黑体" w:eastAsia="黑体" w:cs="黑体"/>
            </w:rPr>
            <w:t>4.4全断面扫描检测模式</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_Toc21671 \h </w:instrText>
          </w:r>
          <w:r>
            <w:rPr>
              <w:rFonts w:hint="eastAsia" w:ascii="黑体" w:hAnsi="黑体" w:eastAsia="黑体" w:cs="黑体"/>
            </w:rPr>
            <w:fldChar w:fldCharType="separate"/>
          </w:r>
          <w:r>
            <w:rPr>
              <w:rFonts w:ascii="黑体" w:hAnsi="黑体" w:eastAsia="黑体" w:cs="黑体"/>
            </w:rPr>
            <w:t>- 24 -</w:t>
          </w:r>
          <w:r>
            <w:rPr>
              <w:rFonts w:hint="eastAsia" w:ascii="黑体" w:hAnsi="黑体" w:eastAsia="黑体" w:cs="黑体"/>
            </w:rPr>
            <w:fldChar w:fldCharType="end"/>
          </w:r>
          <w:r>
            <w:rPr>
              <w:rFonts w:hint="eastAsia" w:ascii="黑体" w:hAnsi="黑体" w:eastAsia="黑体" w:cs="黑体"/>
            </w:rPr>
            <w:fldChar w:fldCharType="end"/>
          </w:r>
        </w:p>
        <w:p>
          <w:pPr>
            <w:pStyle w:val="13"/>
            <w:tabs>
              <w:tab w:val="right" w:leader="dot" w:pos="8845"/>
            </w:tabs>
            <w:ind w:left="640" w:firstLine="640"/>
            <w:rPr>
              <w:rFonts w:ascii="黑体" w:hAnsi="黑体" w:eastAsia="黑体" w:cs="黑体"/>
            </w:rPr>
          </w:pPr>
          <w:r>
            <w:fldChar w:fldCharType="begin"/>
          </w:r>
          <w:r>
            <w:instrText xml:space="preserve"> HYPERLINK \l "_Toc26155" </w:instrText>
          </w:r>
          <w:r>
            <w:fldChar w:fldCharType="separate"/>
          </w:r>
          <w:r>
            <w:rPr>
              <w:rFonts w:hint="eastAsia" w:ascii="黑体" w:hAnsi="黑体" w:eastAsia="黑体" w:cs="黑体"/>
              <w:szCs w:val="20"/>
            </w:rPr>
            <w:t>4.5</w:t>
          </w:r>
          <w:r>
            <w:rPr>
              <w:rFonts w:hint="eastAsia" w:ascii="黑体" w:hAnsi="黑体" w:eastAsia="黑体" w:cs="黑体"/>
            </w:rPr>
            <w:t>全断面扫描</w:t>
          </w:r>
          <w:r>
            <w:rPr>
              <w:rFonts w:hint="eastAsia" w:ascii="黑体" w:hAnsi="黑体" w:eastAsia="黑体" w:cs="黑体"/>
              <w:szCs w:val="20"/>
            </w:rPr>
            <w:t>具体检测内容</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_Toc26155 \h </w:instrText>
          </w:r>
          <w:r>
            <w:rPr>
              <w:rFonts w:hint="eastAsia" w:ascii="黑体" w:hAnsi="黑体" w:eastAsia="黑体" w:cs="黑体"/>
            </w:rPr>
            <w:fldChar w:fldCharType="separate"/>
          </w:r>
          <w:r>
            <w:rPr>
              <w:rFonts w:ascii="黑体" w:hAnsi="黑体" w:eastAsia="黑体" w:cs="黑体"/>
            </w:rPr>
            <w:t>- 24 -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"_Toc2293" </w:instrText>
          </w:r>
          <w:r>
            <w:fldChar w:fldCharType="separate"/>
          </w:r>
          <w:r>
            <w:rPr>
              <w:rFonts w:hint="eastAsia" w:ascii="黑体" w:hAnsi="黑体" w:eastAsia="黑体" w:cs="黑体"/>
            </w:rPr>
            <w:t>五、工程量统计</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_Toc2293 \h </w:instrText>
          </w:r>
          <w:r>
            <w:rPr>
              <w:rFonts w:hint="eastAsia" w:ascii="黑体" w:hAnsi="黑体" w:eastAsia="黑体" w:cs="黑体"/>
            </w:rPr>
            <w:fldChar w:fldCharType="separate"/>
          </w:r>
          <w:r>
            <w:rPr>
              <w:rFonts w:ascii="黑体" w:hAnsi="黑体" w:eastAsia="黑体" w:cs="黑体"/>
            </w:rPr>
            <w:t>- 28 -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"_Toc8583" </w:instrText>
          </w:r>
          <w:r>
            <w:fldChar w:fldCharType="separate"/>
          </w:r>
          <w:r>
            <w:rPr>
              <w:rFonts w:hint="eastAsia" w:ascii="黑体" w:hAnsi="黑体" w:eastAsia="黑体" w:cs="黑体"/>
            </w:rPr>
            <w:t>六、项目监测资质和资源配备的要求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_Toc8583 \h </w:instrText>
          </w:r>
          <w:r>
            <w:rPr>
              <w:rFonts w:hint="eastAsia" w:ascii="黑体" w:hAnsi="黑体" w:eastAsia="黑体" w:cs="黑体"/>
            </w:rPr>
            <w:fldChar w:fldCharType="separate"/>
          </w:r>
          <w:r>
            <w:rPr>
              <w:rFonts w:ascii="黑体" w:hAnsi="黑体" w:eastAsia="黑体" w:cs="黑体"/>
            </w:rPr>
            <w:t>- 31 -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"_Toc47" </w:instrText>
          </w:r>
          <w:r>
            <w:fldChar w:fldCharType="separate"/>
          </w:r>
          <w:r>
            <w:rPr>
              <w:rFonts w:hint="eastAsia" w:ascii="黑体" w:hAnsi="黑体" w:eastAsia="黑体" w:cs="黑体"/>
            </w:rPr>
            <w:t>七、项目对监测生产组织的要求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_Toc47 \h </w:instrText>
          </w:r>
          <w:r>
            <w:rPr>
              <w:rFonts w:hint="eastAsia" w:ascii="黑体" w:hAnsi="黑体" w:eastAsia="黑体" w:cs="黑体"/>
            </w:rPr>
            <w:fldChar w:fldCharType="separate"/>
          </w:r>
          <w:r>
            <w:rPr>
              <w:rFonts w:ascii="黑体" w:hAnsi="黑体" w:eastAsia="黑体" w:cs="黑体"/>
            </w:rPr>
            <w:t>- 34 -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"_Toc10638" </w:instrText>
          </w:r>
          <w:r>
            <w:fldChar w:fldCharType="separate"/>
          </w:r>
          <w:r>
            <w:rPr>
              <w:rFonts w:hint="eastAsia" w:ascii="黑体" w:hAnsi="黑体" w:eastAsia="黑体" w:cs="黑体"/>
            </w:rPr>
            <w:t>八、项目对安全管理的要求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_Toc10638 \h </w:instrText>
          </w:r>
          <w:r>
            <w:rPr>
              <w:rFonts w:hint="eastAsia" w:ascii="黑体" w:hAnsi="黑体" w:eastAsia="黑体" w:cs="黑体"/>
            </w:rPr>
            <w:fldChar w:fldCharType="separate"/>
          </w:r>
          <w:r>
            <w:rPr>
              <w:rFonts w:ascii="黑体" w:hAnsi="黑体" w:eastAsia="黑体" w:cs="黑体"/>
            </w:rPr>
            <w:t>- 35 -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"_Toc25109" </w:instrText>
          </w:r>
          <w:r>
            <w:fldChar w:fldCharType="separate"/>
          </w:r>
          <w:r>
            <w:rPr>
              <w:rFonts w:hint="eastAsia" w:ascii="黑体" w:hAnsi="黑体" w:eastAsia="黑体" w:cs="黑体"/>
            </w:rPr>
            <w:t>九、项目对应急处理组织和能力的要求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_Toc25109 \h </w:instrText>
          </w:r>
          <w:r>
            <w:rPr>
              <w:rFonts w:hint="eastAsia" w:ascii="黑体" w:hAnsi="黑体" w:eastAsia="黑体" w:cs="黑体"/>
            </w:rPr>
            <w:fldChar w:fldCharType="separate"/>
          </w:r>
          <w:r>
            <w:rPr>
              <w:rFonts w:ascii="黑体" w:hAnsi="黑体" w:eastAsia="黑体" w:cs="黑体"/>
            </w:rPr>
            <w:t>- 36 -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"_Toc19590" </w:instrText>
          </w:r>
          <w:r>
            <w:fldChar w:fldCharType="separate"/>
          </w:r>
          <w:r>
            <w:rPr>
              <w:rFonts w:hint="eastAsia" w:ascii="黑体" w:hAnsi="黑体" w:eastAsia="黑体" w:cs="黑体"/>
            </w:rPr>
            <w:t>十、项目对质量管理的要求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_Toc19590 \h </w:instrText>
          </w:r>
          <w:r>
            <w:rPr>
              <w:rFonts w:hint="eastAsia" w:ascii="黑体" w:hAnsi="黑体" w:eastAsia="黑体" w:cs="黑体"/>
            </w:rPr>
            <w:fldChar w:fldCharType="separate"/>
          </w:r>
          <w:r>
            <w:rPr>
              <w:rFonts w:ascii="黑体" w:hAnsi="黑体" w:eastAsia="黑体" w:cs="黑体"/>
            </w:rPr>
            <w:t>- 37 -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"_Toc31574" </w:instrText>
          </w:r>
          <w:r>
            <w:fldChar w:fldCharType="separate"/>
          </w:r>
          <w:r>
            <w:rPr>
              <w:rFonts w:hint="eastAsia" w:ascii="黑体" w:hAnsi="黑体" w:eastAsia="黑体" w:cs="黑体"/>
            </w:rPr>
            <w:t>十一、项目对物资管理的要求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_Toc31574 \h </w:instrText>
          </w:r>
          <w:r>
            <w:rPr>
              <w:rFonts w:hint="eastAsia" w:ascii="黑体" w:hAnsi="黑体" w:eastAsia="黑体" w:cs="黑体"/>
            </w:rPr>
            <w:fldChar w:fldCharType="separate"/>
          </w:r>
          <w:r>
            <w:rPr>
              <w:rFonts w:ascii="黑体" w:hAnsi="黑体" w:eastAsia="黑体" w:cs="黑体"/>
            </w:rPr>
            <w:t>- 38 -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"_Toc26097" </w:instrText>
          </w:r>
          <w:r>
            <w:fldChar w:fldCharType="separate"/>
          </w:r>
          <w:r>
            <w:rPr>
              <w:rFonts w:hint="eastAsia" w:ascii="黑体" w:hAnsi="黑体" w:eastAsia="黑体" w:cs="黑体"/>
            </w:rPr>
            <w:t>十二、项目对文明管理的要求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_Toc26097 \h </w:instrText>
          </w:r>
          <w:r>
            <w:rPr>
              <w:rFonts w:hint="eastAsia" w:ascii="黑体" w:hAnsi="黑体" w:eastAsia="黑体" w:cs="黑体"/>
            </w:rPr>
            <w:fldChar w:fldCharType="separate"/>
          </w:r>
          <w:r>
            <w:rPr>
              <w:rFonts w:ascii="黑体" w:hAnsi="黑体" w:eastAsia="黑体" w:cs="黑体"/>
            </w:rPr>
            <w:t>- 39 -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"_Toc15534" </w:instrText>
          </w:r>
          <w:r>
            <w:fldChar w:fldCharType="separate"/>
          </w:r>
          <w:r>
            <w:rPr>
              <w:rFonts w:hint="eastAsia" w:ascii="黑体" w:hAnsi="黑体" w:eastAsia="黑体" w:cs="黑体"/>
            </w:rPr>
            <w:t>十三、 项目对考核与评价的要求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_Toc15534 \h </w:instrText>
          </w:r>
          <w:r>
            <w:rPr>
              <w:rFonts w:hint="eastAsia" w:ascii="黑体" w:hAnsi="黑体" w:eastAsia="黑体" w:cs="黑体"/>
            </w:rPr>
            <w:fldChar w:fldCharType="separate"/>
          </w:r>
          <w:r>
            <w:rPr>
              <w:rFonts w:ascii="黑体" w:hAnsi="黑体" w:eastAsia="黑体" w:cs="黑体"/>
            </w:rPr>
            <w:t>- 40 -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"_Toc16826" </w:instrText>
          </w:r>
          <w:r>
            <w:fldChar w:fldCharType="separate"/>
          </w:r>
          <w:r>
            <w:rPr>
              <w:rFonts w:hint="eastAsia" w:ascii="黑体" w:hAnsi="黑体" w:eastAsia="黑体" w:cs="黑体"/>
              <w:szCs w:val="20"/>
            </w:rPr>
            <w:t>13.1人员类考核</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_Toc16826 \h </w:instrText>
          </w:r>
          <w:r>
            <w:rPr>
              <w:rFonts w:hint="eastAsia" w:ascii="黑体" w:hAnsi="黑体" w:eastAsia="黑体" w:cs="黑体"/>
            </w:rPr>
            <w:fldChar w:fldCharType="separate"/>
          </w:r>
          <w:r>
            <w:rPr>
              <w:rFonts w:ascii="黑体" w:hAnsi="黑体" w:eastAsia="黑体" w:cs="黑体"/>
            </w:rPr>
            <w:t>- 40 -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"_Toc28665" </w:instrText>
          </w:r>
          <w:r>
            <w:fldChar w:fldCharType="separate"/>
          </w:r>
          <w:r>
            <w:rPr>
              <w:rFonts w:hint="eastAsia" w:ascii="黑体" w:hAnsi="黑体" w:eastAsia="黑体" w:cs="黑体"/>
            </w:rPr>
            <w:t>十四、项目的其他要求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_Toc28665 \h </w:instrText>
          </w:r>
          <w:r>
            <w:rPr>
              <w:rFonts w:hint="eastAsia" w:ascii="黑体" w:hAnsi="黑体" w:eastAsia="黑体" w:cs="黑体"/>
            </w:rPr>
            <w:fldChar w:fldCharType="separate"/>
          </w:r>
          <w:r>
            <w:rPr>
              <w:rFonts w:ascii="黑体" w:hAnsi="黑体" w:eastAsia="黑体" w:cs="黑体"/>
            </w:rPr>
            <w:t>- 43 -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"_Toc24966" </w:instrText>
          </w:r>
          <w:r>
            <w:fldChar w:fldCharType="separate"/>
          </w:r>
          <w:r>
            <w:rPr>
              <w:rFonts w:hint="eastAsia" w:ascii="黑体" w:hAnsi="黑体" w:eastAsia="黑体" w:cs="黑体"/>
            </w:rPr>
            <w:t>十五、 售后要求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_Toc24966 \h </w:instrText>
          </w:r>
          <w:r>
            <w:rPr>
              <w:rFonts w:hint="eastAsia" w:ascii="黑体" w:hAnsi="黑体" w:eastAsia="黑体" w:cs="黑体"/>
            </w:rPr>
            <w:fldChar w:fldCharType="separate"/>
          </w:r>
          <w:r>
            <w:rPr>
              <w:rFonts w:ascii="黑体" w:hAnsi="黑体" w:eastAsia="黑体" w:cs="黑体"/>
            </w:rPr>
            <w:t>- 45 -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"_Toc15029" </w:instrText>
          </w:r>
          <w:r>
            <w:fldChar w:fldCharType="separate"/>
          </w:r>
          <w:r>
            <w:rPr>
              <w:rFonts w:hint="eastAsia" w:ascii="黑体" w:hAnsi="黑体" w:eastAsia="黑体" w:cs="黑体"/>
            </w:rPr>
            <w:t>十六、附录</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_Toc15029 \h </w:instrText>
          </w:r>
          <w:r>
            <w:rPr>
              <w:rFonts w:hint="eastAsia" w:ascii="黑体" w:hAnsi="黑体" w:eastAsia="黑体" w:cs="黑体"/>
            </w:rPr>
            <w:fldChar w:fldCharType="separate"/>
          </w:r>
          <w:r>
            <w:rPr>
              <w:rFonts w:ascii="黑体" w:hAnsi="黑体" w:eastAsia="黑体" w:cs="黑体"/>
            </w:rPr>
            <w:t>- 46 -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"_Toc32151" </w:instrText>
          </w:r>
          <w:r>
            <w:fldChar w:fldCharType="separate"/>
          </w:r>
          <w:r>
            <w:rPr>
              <w:rFonts w:hint="eastAsia" w:ascii="黑体" w:hAnsi="黑体" w:eastAsia="黑体" w:cs="黑体"/>
              <w:szCs w:val="32"/>
            </w:rPr>
            <w:t>附件1：义东线车站情况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_Toc32151 \h </w:instrText>
          </w:r>
          <w:r>
            <w:rPr>
              <w:rFonts w:hint="eastAsia" w:ascii="黑体" w:hAnsi="黑体" w:eastAsia="黑体" w:cs="黑体"/>
            </w:rPr>
            <w:fldChar w:fldCharType="separate"/>
          </w:r>
          <w:r>
            <w:rPr>
              <w:rFonts w:ascii="黑体" w:hAnsi="黑体" w:eastAsia="黑体" w:cs="黑体"/>
            </w:rPr>
            <w:t>- 48 -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"_Toc464" </w:instrText>
          </w:r>
          <w:r>
            <w:fldChar w:fldCharType="separate"/>
          </w:r>
          <w:r>
            <w:rPr>
              <w:rFonts w:hint="eastAsia" w:ascii="黑体" w:hAnsi="黑体" w:eastAsia="黑体" w:cs="黑体"/>
              <w:szCs w:val="32"/>
            </w:rPr>
            <w:t>附件2：义东线区间情况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_Toc464 \h </w:instrText>
          </w:r>
          <w:r>
            <w:rPr>
              <w:rFonts w:hint="eastAsia" w:ascii="黑体" w:hAnsi="黑体" w:eastAsia="黑体" w:cs="黑体"/>
            </w:rPr>
            <w:fldChar w:fldCharType="separate"/>
          </w:r>
          <w:r>
            <w:rPr>
              <w:rFonts w:ascii="黑体" w:hAnsi="黑体" w:eastAsia="黑体" w:cs="黑体"/>
            </w:rPr>
            <w:t>- 50 -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"_Toc9720" </w:instrText>
          </w:r>
          <w:r>
            <w:fldChar w:fldCharType="separate"/>
          </w:r>
          <w:r>
            <w:rPr>
              <w:rFonts w:hint="eastAsia" w:ascii="黑体" w:hAnsi="黑体" w:eastAsia="黑体" w:cs="黑体"/>
              <w:szCs w:val="32"/>
            </w:rPr>
            <w:t>附件3：义东线区间桥梁分布情况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_Toc9720 \h </w:instrText>
          </w:r>
          <w:r>
            <w:rPr>
              <w:rFonts w:hint="eastAsia" w:ascii="黑体" w:hAnsi="黑体" w:eastAsia="黑体" w:cs="黑体"/>
            </w:rPr>
            <w:fldChar w:fldCharType="separate"/>
          </w:r>
          <w:r>
            <w:rPr>
              <w:rFonts w:ascii="黑体" w:hAnsi="黑体" w:eastAsia="黑体" w:cs="黑体"/>
            </w:rPr>
            <w:t>- 56 -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"_Toc8376" </w:instrText>
          </w:r>
          <w:r>
            <w:fldChar w:fldCharType="separate"/>
          </w:r>
          <w:r>
            <w:rPr>
              <w:rFonts w:hint="eastAsia" w:ascii="黑体" w:hAnsi="黑体" w:eastAsia="黑体" w:cs="黑体"/>
              <w:szCs w:val="32"/>
            </w:rPr>
            <w:t>附件4：进场人员工作清单</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_Toc8376 \h </w:instrText>
          </w:r>
          <w:r>
            <w:rPr>
              <w:rFonts w:hint="eastAsia" w:ascii="黑体" w:hAnsi="黑体" w:eastAsia="黑体" w:cs="黑体"/>
            </w:rPr>
            <w:fldChar w:fldCharType="separate"/>
          </w:r>
          <w:r>
            <w:rPr>
              <w:rFonts w:ascii="黑体" w:hAnsi="黑体" w:eastAsia="黑体" w:cs="黑体"/>
            </w:rPr>
            <w:t>- 59 -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"_Toc19905" </w:instrText>
          </w:r>
          <w:r>
            <w:fldChar w:fldCharType="separate"/>
          </w:r>
          <w:r>
            <w:rPr>
              <w:rFonts w:hint="eastAsia" w:ascii="黑体" w:hAnsi="黑体" w:eastAsia="黑体" w:cs="黑体"/>
              <w:szCs w:val="32"/>
            </w:rPr>
            <w:t>附录5：投标方设备资源、人员配备需求表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_Toc19905 \h </w:instrText>
          </w:r>
          <w:r>
            <w:rPr>
              <w:rFonts w:hint="eastAsia" w:ascii="黑体" w:hAnsi="黑体" w:eastAsia="黑体" w:cs="黑体"/>
            </w:rPr>
            <w:fldChar w:fldCharType="separate"/>
          </w:r>
          <w:r>
            <w:rPr>
              <w:rFonts w:ascii="黑体" w:hAnsi="黑体" w:eastAsia="黑体" w:cs="黑体"/>
            </w:rPr>
            <w:t>- 60 -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rPr>
              <w:rFonts w:ascii="黑体" w:hAnsi="黑体" w:eastAsia="黑体" w:cs="黑体"/>
            </w:rPr>
          </w:pPr>
          <w:r>
            <w:fldChar w:fldCharType="begin"/>
          </w:r>
          <w:r>
            <w:instrText xml:space="preserve"> HYPERLINK \l "_Toc13822" </w:instrText>
          </w:r>
          <w:r>
            <w:fldChar w:fldCharType="separate"/>
          </w:r>
          <w:r>
            <w:rPr>
              <w:rFonts w:hint="eastAsia" w:ascii="黑体" w:hAnsi="黑体" w:eastAsia="黑体" w:cs="黑体"/>
              <w:szCs w:val="32"/>
            </w:rPr>
            <w:t>附录7：项目对投标方需配备的建议资质要求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_Toc13822 \h </w:instrText>
          </w:r>
          <w:r>
            <w:rPr>
              <w:rFonts w:hint="eastAsia" w:ascii="黑体" w:hAnsi="黑体" w:eastAsia="黑体" w:cs="黑体"/>
            </w:rPr>
            <w:fldChar w:fldCharType="separate"/>
          </w:r>
          <w:r>
            <w:rPr>
              <w:rFonts w:ascii="黑体" w:hAnsi="黑体" w:eastAsia="黑体" w:cs="黑体"/>
            </w:rPr>
            <w:t>- 62 -</w:t>
          </w:r>
          <w:r>
            <w:rPr>
              <w:rFonts w:hint="eastAsia" w:ascii="黑体" w:hAnsi="黑体" w:eastAsia="黑体" w:cs="黑体"/>
            </w:rPr>
            <w:fldChar w:fldCharType="end"/>
          </w:r>
          <w:r>
            <w:rPr>
              <w:rFonts w:hint="eastAsia" w:ascii="黑体" w:hAnsi="黑体" w:eastAsia="黑体" w:cs="黑体"/>
            </w:rPr>
            <w:fldChar w:fldCharType="end"/>
          </w:r>
        </w:p>
        <w:p>
          <w:pPr>
            <w:pStyle w:val="12"/>
            <w:tabs>
              <w:tab w:val="right" w:leader="dot" w:pos="8845"/>
            </w:tabs>
            <w:ind w:firstLine="640"/>
          </w:pPr>
        </w:p>
        <w:p>
          <w:pPr>
            <w:ind w:firstLine="0" w:firstLineChars="0"/>
            <w:rPr>
              <w:b/>
            </w:rPr>
            <w:sectPr>
              <w:footerReference r:id="rId9" w:type="default"/>
              <w:pgSz w:w="11906" w:h="16838"/>
              <w:pgMar w:top="2098" w:right="1474" w:bottom="1984" w:left="1587" w:header="851" w:footer="992" w:gutter="0"/>
              <w:pgNumType w:fmt="upperRoman" w:start="1"/>
              <w:cols w:space="0" w:num="1"/>
              <w:docGrid w:type="lines" w:linePitch="440" w:charSpace="0"/>
            </w:sectPr>
          </w:pPr>
          <w:r>
            <w:rPr>
              <w:rFonts w:hint="eastAsia" w:ascii="仿宋_GB2312" w:hAnsi="仿宋_GB2312"/>
            </w:rPr>
            <w:fldChar w:fldCharType="end"/>
          </w:r>
        </w:p>
      </w:sdtContent>
    </w:sdt>
    <w:p>
      <w:pPr>
        <w:pStyle w:val="4"/>
        <w:ind w:firstLine="640"/>
        <w:rPr>
          <w:rFonts w:ascii="黑体" w:hAnsi="黑体" w:cs="黑体"/>
          <w:szCs w:val="32"/>
        </w:rPr>
      </w:pPr>
      <w:bookmarkStart w:id="1" w:name="_Toc22266"/>
      <w:r>
        <w:rPr>
          <w:rFonts w:hint="eastAsia" w:ascii="黑体" w:hAnsi="黑体" w:cs="黑体"/>
          <w:szCs w:val="32"/>
        </w:rPr>
        <w:t>一、项目概况</w:t>
      </w:r>
      <w:bookmarkEnd w:id="0"/>
      <w:bookmarkEnd w:id="1"/>
    </w:p>
    <w:p>
      <w:pPr>
        <w:ind w:firstLine="640"/>
        <w:rPr>
          <w:rFonts w:ascii="仿宋_GB2312" w:hAnsi="仿宋_GB2312"/>
        </w:rPr>
      </w:pPr>
      <w:r>
        <w:rPr>
          <w:rFonts w:hint="eastAsia" w:ascii="仿宋_GB2312" w:hAnsi="仿宋_GB2312"/>
        </w:rPr>
        <w:t>金华-义乌-东阳市域轨道交通线路总长107.17km，其中地下线27.906km，过渡段长约5.003km，高架线长约71.816km，山岭隧道长2.447km。共设车站31座（秦塘站计为2座），其中地下站14座（秦塘站计为2座），高架站17座。</w:t>
      </w:r>
    </w:p>
    <w:p>
      <w:pPr>
        <w:ind w:firstLine="640"/>
        <w:rPr>
          <w:rFonts w:ascii="仿宋_GB2312" w:hAnsi="仿宋_GB2312"/>
        </w:rPr>
      </w:pPr>
      <w:r>
        <w:rPr>
          <w:rFonts w:hint="eastAsia" w:ascii="仿宋_GB2312" w:hAnsi="仿宋_GB2312"/>
        </w:rPr>
        <w:t>义乌—东阳（横店）段起于义乌高铁站，经由义乌主城区—秦塘—国际商贸城—东阳主城区—东阳横店高铁站至明清宫站，线路预留近期向北延伸至浦江的条件。义东线正线总长44.162km，地下线15.413km，高架线长25.234km，山岭隧道2.8km，过渡段长度0.715km。</w:t>
      </w:r>
    </w:p>
    <w:p>
      <w:pPr>
        <w:ind w:firstLine="640"/>
        <w:rPr>
          <w:rFonts w:ascii="仿宋_GB2312" w:hAnsi="仿宋_GB2312"/>
        </w:rPr>
      </w:pPr>
      <w:r>
        <w:rPr>
          <w:rFonts w:hint="eastAsia" w:ascii="仿宋_GB2312" w:hAnsi="仿宋_GB2312"/>
        </w:rPr>
        <w:t>义东段全线共设站14座，其中地下站8座，分别是义乌高铁站、秦塘站、国际商贸城站、浙医四院站、歌山路站、人民路站、横店高铁站和明清宫站；高架站6座，分别是凌云站、春晗站、江东站、木雕城站、会展中心站、体育馆站。因开行大站快车的需要，设越行车站2座，分别是木雕城站、体育馆站；本段线路最大站间距为7321.429m，位于横店高铁站～明清宫站区间；最小站间距为1632.820m，位于秦塘站～国际商贸城站区间。义东段设换乘站3座，分别是春晗站、秦塘站，浙医四院站。春晗站与规划义乌轨道交通4号线换乘衔接，秦塘站与金义线形成双岛四线同台换乘；在浙医四院站与规划义乌轨道交通3号线形成通道换乘。</w:t>
      </w:r>
    </w:p>
    <w:p>
      <w:pPr>
        <w:ind w:firstLine="640"/>
        <w:rPr>
          <w:rFonts w:ascii="仿宋_GB2312" w:hAnsi="仿宋_GB2312"/>
        </w:rPr>
      </w:pPr>
      <w:r>
        <w:rPr>
          <w:rFonts w:hint="eastAsia" w:ascii="仿宋_GB2312" w:hAnsi="仿宋_GB2312"/>
        </w:rPr>
        <w:t>义东段设两座停车场，在义乌火车站附近设后宅停车场、在槐堂附近设槐堂停车场。</w:t>
      </w:r>
    </w:p>
    <w:p>
      <w:pPr>
        <w:pStyle w:val="4"/>
        <w:ind w:firstLine="640"/>
      </w:pPr>
      <w:bookmarkStart w:id="2" w:name="_Toc11384"/>
      <w:bookmarkStart w:id="3" w:name="_Toc8921"/>
      <w:r>
        <w:rPr>
          <w:rFonts w:hint="eastAsia"/>
        </w:rPr>
        <w:t>二、项目服务范围</w:t>
      </w:r>
      <w:bookmarkEnd w:id="2"/>
      <w:bookmarkEnd w:id="3"/>
    </w:p>
    <w:p>
      <w:pPr>
        <w:ind w:firstLine="640"/>
        <w:rPr>
          <w:rFonts w:ascii="仿宋_GB2312" w:hAnsi="仿宋_GB2312"/>
        </w:rPr>
      </w:pPr>
      <w:bookmarkStart w:id="4" w:name="_Toc2577"/>
      <w:r>
        <w:rPr>
          <w:rFonts w:hint="eastAsia" w:ascii="仿宋_GB2312" w:hAnsi="仿宋_GB2312"/>
        </w:rPr>
        <w:t>2.1车站：包含义东线所有车站。</w:t>
      </w:r>
    </w:p>
    <w:p>
      <w:pPr>
        <w:ind w:firstLine="640"/>
        <w:rPr>
          <w:rFonts w:ascii="仿宋_GB2312" w:hAnsi="仿宋_GB2312"/>
        </w:rPr>
      </w:pPr>
      <w:r>
        <w:rPr>
          <w:rFonts w:hint="eastAsia" w:ascii="仿宋_GB2312" w:hAnsi="仿宋_GB2312"/>
        </w:rPr>
        <w:t>2.2区间：包含义东线所有明挖U型槽结构、盾构隧道、山岭隧道和高架桥梁结构。</w:t>
      </w:r>
    </w:p>
    <w:p>
      <w:pPr>
        <w:pStyle w:val="6"/>
        <w:ind w:firstLine="640"/>
        <w:rPr>
          <w:rFonts w:ascii="仿宋_GB2312" w:hAnsi="仿宋_GB2312"/>
        </w:rPr>
      </w:pPr>
      <w:r>
        <w:rPr>
          <w:rFonts w:hint="eastAsia" w:ascii="仿宋_GB2312" w:hAnsi="仿宋_GB2312"/>
        </w:rPr>
        <w:t>2.3场段及区间开关站：主要为义东线的后宅停车场和槐堂停车场内单体建筑、运用库、检修库及区间开关站。</w:t>
      </w:r>
    </w:p>
    <w:p>
      <w:pPr>
        <w:pStyle w:val="4"/>
        <w:ind w:firstLine="640"/>
      </w:pPr>
      <w:bookmarkStart w:id="5" w:name="_Toc4108"/>
      <w:r>
        <w:rPr>
          <w:rFonts w:hint="eastAsia"/>
        </w:rPr>
        <w:t>三、监测标准技术规范及要求</w:t>
      </w:r>
      <w:bookmarkEnd w:id="4"/>
      <w:bookmarkEnd w:id="5"/>
    </w:p>
    <w:p>
      <w:pPr>
        <w:ind w:firstLine="640"/>
        <w:rPr>
          <w:rFonts w:ascii="仿宋_GB2312" w:hAnsi="仿宋_GB2312"/>
        </w:rPr>
      </w:pPr>
      <w:r>
        <w:rPr>
          <w:rFonts w:hint="eastAsia" w:ascii="仿宋_GB2312" w:hAnsi="仿宋_GB2312"/>
        </w:rPr>
        <w:t>本委外项目须按下述规程、规则、预案、技术文件、管理文件等组织结构监测，包括但不限于：</w:t>
      </w:r>
    </w:p>
    <w:p>
      <w:pPr>
        <w:ind w:firstLine="640"/>
        <w:outlineLvl w:val="1"/>
        <w:rPr>
          <w:rFonts w:ascii="仿宋_GB2312" w:hAnsi="仿宋_GB2312"/>
        </w:rPr>
      </w:pPr>
      <w:bookmarkStart w:id="6" w:name="_Toc30939"/>
      <w:bookmarkStart w:id="7" w:name="_Toc11939"/>
      <w:bookmarkStart w:id="8" w:name="_Toc11159"/>
      <w:r>
        <w:rPr>
          <w:rFonts w:hint="eastAsia" w:ascii="仿宋_GB2312" w:hAnsi="仿宋_GB2312"/>
        </w:rPr>
        <w:t>3.1监测制度</w:t>
      </w:r>
      <w:bookmarkEnd w:id="6"/>
      <w:bookmarkEnd w:id="7"/>
      <w:bookmarkEnd w:id="8"/>
    </w:p>
    <w:p>
      <w:pPr>
        <w:ind w:firstLine="640"/>
        <w:rPr>
          <w:rFonts w:ascii="仿宋_GB2312" w:hAnsi="仿宋_GB2312"/>
        </w:rPr>
      </w:pPr>
      <w:r>
        <w:rPr>
          <w:rFonts w:hint="eastAsia" w:ascii="仿宋_GB2312" w:hAnsi="仿宋_GB2312"/>
        </w:rPr>
        <w:t>监测规程：金华市轨道交通集团运营有限公司标准《结构监测规程》；</w:t>
      </w:r>
    </w:p>
    <w:p>
      <w:pPr>
        <w:ind w:firstLine="640"/>
        <w:rPr>
          <w:rFonts w:ascii="仿宋_GB2312" w:hAnsi="仿宋_GB2312"/>
        </w:rPr>
      </w:pPr>
      <w:r>
        <w:rPr>
          <w:rFonts w:hint="eastAsia" w:ascii="仿宋_GB2312" w:hAnsi="仿宋_GB2312"/>
        </w:rPr>
        <w:t>应急预案：金华市轨道交通集团运营有限公司标准《突发事件应急处置综合预案》及工务部各专项应急预案、现场处置方案；</w:t>
      </w:r>
    </w:p>
    <w:p>
      <w:pPr>
        <w:ind w:firstLine="640"/>
      </w:pPr>
      <w:r>
        <w:rPr>
          <w:rFonts w:hint="eastAsia"/>
        </w:rPr>
        <w:t>施工管理：金华市轨道交通集团运营有限公司标准《行车组织规则》、《施工检修规则》等相关文件；</w:t>
      </w:r>
    </w:p>
    <w:p>
      <w:pPr>
        <w:ind w:firstLine="640"/>
      </w:pPr>
      <w:r>
        <w:rPr>
          <w:rFonts w:hint="eastAsia"/>
        </w:rPr>
        <w:t>安全规则：金华市轨道交通集团运营有限公司安全标准、《工务安全手册》等相关文件；</w:t>
      </w:r>
    </w:p>
    <w:p>
      <w:pPr>
        <w:ind w:firstLine="640"/>
      </w:pPr>
      <w:r>
        <w:rPr>
          <w:rFonts w:hint="eastAsia"/>
        </w:rPr>
        <w:t>管理办法：金华市轨道交通集团运营有限公司标准《设施设备委外项目管理制度》及《工务部委外管理细则》等相关文件。</w:t>
      </w:r>
    </w:p>
    <w:p>
      <w:pPr>
        <w:ind w:firstLine="640"/>
        <w:outlineLvl w:val="1"/>
        <w:rPr>
          <w:rFonts w:ascii="仿宋_GB2312" w:hAnsi="仿宋_GB2312"/>
        </w:rPr>
      </w:pPr>
      <w:bookmarkStart w:id="9" w:name="_Toc13055"/>
      <w:bookmarkStart w:id="10" w:name="_Toc16596"/>
      <w:bookmarkStart w:id="11" w:name="_Toc1211"/>
      <w:r>
        <w:rPr>
          <w:rFonts w:hint="eastAsia" w:ascii="仿宋_GB2312" w:hAnsi="仿宋_GB2312"/>
        </w:rPr>
        <w:t>3.2相关技术规范</w:t>
      </w:r>
      <w:bookmarkEnd w:id="9"/>
      <w:bookmarkEnd w:id="10"/>
      <w:bookmarkEnd w:id="11"/>
    </w:p>
    <w:p>
      <w:pPr>
        <w:ind w:firstLine="640"/>
        <w:rPr>
          <w:rFonts w:ascii="仿宋_GB2312" w:hAnsi="仿宋_GB2312"/>
        </w:rPr>
      </w:pPr>
      <w:bookmarkStart w:id="12" w:name="_Toc28381"/>
      <w:r>
        <w:rPr>
          <w:rFonts w:hint="eastAsia" w:ascii="仿宋_GB2312" w:hAnsi="仿宋_GB2312"/>
        </w:rPr>
        <w:t>为了统一工程测量的技术要求，及时、准确地为市域铁路安全运营提供准确可靠的测绘资料，保证其成果的质量，符合相关规范的要求，严格按照国家一、二等精密水准测量的各项技术要求进行，所依据的技术规范和标准有：</w:t>
      </w:r>
    </w:p>
    <w:p>
      <w:pPr>
        <w:ind w:firstLine="640"/>
        <w:rPr>
          <w:rFonts w:ascii="仿宋_GB2312" w:hAnsi="仿宋_GB2312"/>
        </w:rPr>
      </w:pPr>
      <w:r>
        <w:rPr>
          <w:rFonts w:hint="eastAsia" w:ascii="仿宋_GB2312" w:hAnsi="仿宋_GB2312"/>
        </w:rPr>
        <w:t>《城市轨道交通工程监测技术规范》(GB50911-2013)；</w:t>
      </w:r>
    </w:p>
    <w:p>
      <w:pPr>
        <w:ind w:firstLine="640"/>
        <w:rPr>
          <w:rFonts w:ascii="仿宋_GB2312" w:hAnsi="仿宋_GB2312"/>
        </w:rPr>
      </w:pPr>
      <w:r>
        <w:rPr>
          <w:rFonts w:hint="eastAsia" w:ascii="仿宋_GB2312" w:hAnsi="仿宋_GB2312"/>
        </w:rPr>
        <w:t>《国家一、二等水准测量规范》（GB/T 12897-2006）；</w:t>
      </w:r>
    </w:p>
    <w:p>
      <w:pPr>
        <w:ind w:firstLine="640"/>
        <w:rPr>
          <w:rFonts w:ascii="仿宋_GB2312" w:hAnsi="仿宋_GB2312"/>
        </w:rPr>
      </w:pPr>
      <w:r>
        <w:rPr>
          <w:rFonts w:hint="eastAsia" w:ascii="仿宋_GB2312" w:hAnsi="仿宋_GB2312"/>
        </w:rPr>
        <w:t>《城市轨道交通工程测量规范》（GB/T 50308-2017）；</w:t>
      </w:r>
    </w:p>
    <w:p>
      <w:pPr>
        <w:ind w:firstLine="640"/>
        <w:rPr>
          <w:rFonts w:ascii="仿宋_GB2312" w:hAnsi="仿宋_GB2312"/>
        </w:rPr>
      </w:pPr>
      <w:r>
        <w:rPr>
          <w:rFonts w:hint="eastAsia" w:ascii="仿宋_GB2312" w:hAnsi="仿宋_GB2312"/>
        </w:rPr>
        <w:t>《水准仪》（GB/T10156-2009）；</w:t>
      </w:r>
    </w:p>
    <w:p>
      <w:pPr>
        <w:ind w:firstLine="640"/>
      </w:pPr>
      <w:r>
        <w:rPr>
          <w:rFonts w:hint="eastAsia" w:ascii="仿宋_GB2312" w:hAnsi="仿宋_GB2312"/>
        </w:rPr>
        <w:t>《全站仪》（GB/T27663-2011）；</w:t>
      </w:r>
    </w:p>
    <w:p>
      <w:pPr>
        <w:ind w:firstLine="640"/>
        <w:rPr>
          <w:rFonts w:ascii="仿宋_GB2312" w:hAnsi="仿宋_GB2312"/>
        </w:rPr>
      </w:pPr>
      <w:r>
        <w:rPr>
          <w:rFonts w:hint="eastAsia" w:ascii="仿宋_GB2312" w:hAnsi="仿宋_GB2312"/>
        </w:rPr>
        <w:t>《工程测量标准》（GB50026-2020）；</w:t>
      </w:r>
    </w:p>
    <w:p>
      <w:pPr>
        <w:ind w:firstLine="640"/>
        <w:rPr>
          <w:rFonts w:ascii="仿宋_GB2312" w:hAnsi="仿宋_GB2312"/>
        </w:rPr>
      </w:pPr>
      <w:r>
        <w:rPr>
          <w:rFonts w:hint="eastAsia" w:ascii="仿宋_GB2312" w:hAnsi="仿宋_GB2312"/>
        </w:rPr>
        <w:t>义东全线及停车场所有相关结构施工图、相关工程资料。</w:t>
      </w:r>
    </w:p>
    <w:p>
      <w:pPr>
        <w:pStyle w:val="6"/>
        <w:ind w:firstLine="640"/>
        <w:rPr>
          <w:rFonts w:ascii="仿宋_GB2312" w:hAnsi="仿宋_GB2312"/>
        </w:rPr>
      </w:pPr>
      <w:r>
        <w:rPr>
          <w:rFonts w:hint="eastAsia" w:ascii="仿宋_GB2312" w:hAnsi="仿宋_GB2312"/>
        </w:rPr>
        <w:t>说明∶</w:t>
      </w:r>
    </w:p>
    <w:p>
      <w:pPr>
        <w:pStyle w:val="6"/>
        <w:ind w:firstLine="640"/>
        <w:rPr>
          <w:rFonts w:ascii="仿宋_GB2312" w:hAnsi="仿宋_GB2312"/>
        </w:rPr>
      </w:pPr>
      <w:r>
        <w:rPr>
          <w:rFonts w:hint="eastAsia" w:ascii="仿宋_GB2312" w:hAnsi="仿宋_GB2312"/>
        </w:rPr>
        <w:t>（1）用户需求书未要求的按国家或行业标准、规范执行。</w:t>
      </w:r>
    </w:p>
    <w:p>
      <w:pPr>
        <w:pStyle w:val="6"/>
        <w:ind w:firstLine="640"/>
        <w:rPr>
          <w:rFonts w:ascii="仿宋_GB2312" w:hAnsi="仿宋_GB2312"/>
        </w:rPr>
      </w:pPr>
      <w:r>
        <w:rPr>
          <w:rFonts w:hint="eastAsia" w:ascii="仿宋_GB2312" w:hAnsi="仿宋_GB2312"/>
        </w:rPr>
        <w:t>（2）上述标准的条款如有不一致或多项选择，承包商应告知需求方并按需求方指定的高标准执行。</w:t>
      </w:r>
    </w:p>
    <w:p>
      <w:pPr>
        <w:pStyle w:val="6"/>
        <w:ind w:firstLine="640"/>
        <w:rPr>
          <w:rFonts w:ascii="仿宋_GB2312" w:hAnsi="仿宋_GB2312"/>
        </w:rPr>
      </w:pPr>
      <w:r>
        <w:rPr>
          <w:rFonts w:hint="eastAsia" w:ascii="仿宋_GB2312" w:hAnsi="仿宋_GB2312"/>
        </w:rPr>
        <w:t>（3）上述标准、规范如有最新版本按最新版本执行。</w:t>
      </w:r>
    </w:p>
    <w:bookmarkEnd w:id="12"/>
    <w:p>
      <w:pPr>
        <w:pStyle w:val="4"/>
        <w:numPr>
          <w:ilvl w:val="0"/>
          <w:numId w:val="1"/>
        </w:numPr>
        <w:ind w:firstLine="640"/>
      </w:pPr>
      <w:bookmarkStart w:id="13" w:name="_Toc19299"/>
      <w:r>
        <w:rPr>
          <w:rFonts w:hint="eastAsia"/>
        </w:rPr>
        <w:t>监测模式和具体监测内容及要求</w:t>
      </w:r>
      <w:bookmarkEnd w:id="13"/>
    </w:p>
    <w:p>
      <w:pPr>
        <w:ind w:firstLine="640"/>
        <w:outlineLvl w:val="1"/>
        <w:rPr>
          <w:rFonts w:ascii="仿宋_GB2312" w:hAnsi="仿宋_GB2312"/>
        </w:rPr>
      </w:pPr>
      <w:bookmarkStart w:id="14" w:name="_Toc16645"/>
      <w:bookmarkStart w:id="15" w:name="_Toc31510"/>
      <w:r>
        <w:rPr>
          <w:rFonts w:hint="eastAsia" w:ascii="仿宋_GB2312" w:hAnsi="仿宋_GB2312"/>
        </w:rPr>
        <w:t>4.1监测模式</w:t>
      </w:r>
      <w:bookmarkEnd w:id="14"/>
      <w:bookmarkEnd w:id="15"/>
    </w:p>
    <w:p>
      <w:pPr>
        <w:pStyle w:val="6"/>
        <w:ind w:firstLine="640"/>
        <w:rPr>
          <w:rFonts w:ascii="仿宋_GB2312" w:hAnsi="仿宋_GB2312"/>
        </w:rPr>
      </w:pPr>
      <w:r>
        <w:rPr>
          <w:rFonts w:hint="eastAsia" w:ascii="仿宋_GB2312" w:hAnsi="仿宋_GB2312"/>
        </w:rPr>
        <w:t>义东线监测模式采取项目委外，投标方必须成立项目部，进行项目管理，</w:t>
      </w:r>
      <w:r>
        <w:rPr>
          <w:rFonts w:hint="eastAsia" w:ascii="Times New Roman" w:hAnsi="Times New Roman" w:cs="Times New Roman"/>
          <w:bCs/>
          <w:szCs w:val="32"/>
        </w:rPr>
        <w:t>凌明区间采用固定合价；义凌区间、后宅停车场、槐堂停车场采用固定除税单价方式</w:t>
      </w:r>
      <w:r>
        <w:rPr>
          <w:rFonts w:hint="eastAsia" w:ascii="仿宋_GB2312" w:hAnsi="仿宋_GB2312"/>
        </w:rPr>
        <w:t>，合同服务期限为</w:t>
      </w:r>
      <w:r>
        <w:rPr>
          <w:rFonts w:ascii="仿宋_GB2312" w:hAnsi="仿宋_GB2312"/>
        </w:rPr>
        <w:t>3年，预计进驻时间为2022年5月—2025年4月，其中</w:t>
      </w:r>
      <w:r>
        <w:rPr>
          <w:rFonts w:hint="eastAsia"/>
        </w:rPr>
        <w:t>义乌高铁站</w:t>
      </w:r>
      <w:r>
        <w:t>~</w:t>
      </w:r>
      <w:r>
        <w:rPr>
          <w:rFonts w:hint="eastAsia"/>
        </w:rPr>
        <w:t>凌云站区间、后宅停车场（包含出入段线）、槐堂停车场（包含出入段线）预计进驻时</w:t>
      </w:r>
      <w:r>
        <w:rPr>
          <w:rFonts w:hint="eastAsia" w:ascii="仿宋_GB2312" w:hAnsi="仿宋_GB2312"/>
        </w:rPr>
        <w:t>间</w:t>
      </w:r>
      <w:r>
        <w:rPr>
          <w:rFonts w:ascii="仿宋_GB2312" w:hAnsi="仿宋_GB2312"/>
        </w:rPr>
        <w:t>2023年11月-2025年4月。</w:t>
      </w:r>
      <w:r>
        <w:rPr>
          <w:rFonts w:hint="eastAsia" w:ascii="仿宋_GB2312" w:hAnsi="仿宋_GB2312"/>
        </w:rPr>
        <w:t>项目各阶段具体进场时间以招标方书面通知为准（核心技术管理人员提前一个月进场，其余人员以书面通知为准）。</w:t>
      </w:r>
    </w:p>
    <w:p>
      <w:pPr>
        <w:pStyle w:val="6"/>
        <w:ind w:firstLine="640"/>
        <w:rPr>
          <w:rFonts w:ascii="仿宋_GB2312" w:hAnsi="仿宋_GB2312"/>
        </w:rPr>
      </w:pPr>
      <w:r>
        <w:rPr>
          <w:rFonts w:hint="eastAsia" w:ascii="Times New Roman" w:hAnsi="Times New Roman" w:cs="Times New Roman"/>
          <w:bCs/>
          <w:szCs w:val="32"/>
        </w:rPr>
        <w:t>凌明区间采用固定合价；义凌区间、后宅停车场、槐堂停车场采用固定除税单价方式，根据实际完成的监测频率结算</w:t>
      </w:r>
      <w:r>
        <w:rPr>
          <w:rFonts w:hint="eastAsia" w:ascii="仿宋_GB2312" w:hAnsi="仿宋_GB2312"/>
        </w:rPr>
        <w:t>。</w:t>
      </w:r>
      <w:r>
        <w:rPr>
          <w:rFonts w:hint="eastAsia" w:ascii="Times New Roman" w:hAnsi="Times New Roman" w:cs="Times New Roman"/>
          <w:szCs w:val="21"/>
        </w:rPr>
        <w:t>投标报价明细表中价格均为含税价，报价时税率按</w:t>
      </w:r>
      <w:r>
        <w:rPr>
          <w:rFonts w:ascii="Times New Roman" w:hAnsi="Times New Roman" w:cs="Times New Roman"/>
          <w:szCs w:val="21"/>
        </w:rPr>
        <w:t>6%</w:t>
      </w:r>
      <w:r>
        <w:rPr>
          <w:rFonts w:hint="eastAsia" w:ascii="Times New Roman" w:hAnsi="Times New Roman" w:cs="Times New Roman"/>
          <w:szCs w:val="21"/>
        </w:rPr>
        <w:t>进行报价，若投标人在中标后实际税率不同，结算时税款按实际开票税率计。</w:t>
      </w:r>
      <w:r>
        <w:rPr>
          <w:rFonts w:hint="eastAsia" w:ascii="仿宋_GB2312" w:hAnsi="仿宋_GB2312"/>
        </w:rPr>
        <w:t>监测仪器及设备、监测布点设备及标识等均由投标方供应。</w:t>
      </w:r>
    </w:p>
    <w:p>
      <w:pPr>
        <w:pStyle w:val="6"/>
        <w:ind w:firstLine="640"/>
        <w:rPr>
          <w:rFonts w:ascii="Times New Roman" w:hAnsi="Times New Roman" w:cs="Times New Roman"/>
          <w:szCs w:val="21"/>
        </w:rPr>
      </w:pPr>
      <w:r>
        <w:rPr>
          <w:rFonts w:hint="eastAsia" w:ascii="仿宋_GB2312" w:hAnsi="仿宋_GB2312"/>
        </w:rPr>
        <w:t>本合同每半年支付一次，</w:t>
      </w:r>
      <w:r>
        <w:rPr>
          <w:rFonts w:hint="eastAsia" w:ascii="Times New Roman" w:hAnsi="Times New Roman" w:cs="Times New Roman"/>
          <w:szCs w:val="21"/>
        </w:rPr>
        <w:t>第一次付款申请时间为</w:t>
      </w:r>
      <w:r>
        <w:rPr>
          <w:rFonts w:ascii="Times New Roman" w:hAnsi="Times New Roman" w:cs="Times New Roman"/>
          <w:szCs w:val="21"/>
        </w:rPr>
        <w:t>202</w:t>
      </w:r>
      <w:r>
        <w:rPr>
          <w:rFonts w:hint="eastAsia" w:ascii="Times New Roman" w:hAnsi="Times New Roman" w:cs="Times New Roman"/>
          <w:szCs w:val="21"/>
        </w:rPr>
        <w:t>2</w:t>
      </w:r>
      <w:r>
        <w:rPr>
          <w:rFonts w:ascii="Times New Roman" w:hAnsi="Times New Roman" w:cs="Times New Roman"/>
          <w:szCs w:val="21"/>
        </w:rPr>
        <w:t>年1</w:t>
      </w:r>
      <w:r>
        <w:rPr>
          <w:rFonts w:hint="eastAsia" w:ascii="Times New Roman" w:hAnsi="Times New Roman" w:cs="Times New Roman"/>
          <w:szCs w:val="21"/>
        </w:rPr>
        <w:t>0</w:t>
      </w:r>
      <w:r>
        <w:rPr>
          <w:rFonts w:ascii="Times New Roman" w:hAnsi="Times New Roman" w:cs="Times New Roman"/>
          <w:szCs w:val="21"/>
        </w:rPr>
        <w:t>月，</w:t>
      </w:r>
      <w:r>
        <w:rPr>
          <w:rFonts w:hint="eastAsia" w:ascii="Times New Roman" w:hAnsi="Times New Roman" w:cs="Times New Roman"/>
          <w:szCs w:val="21"/>
        </w:rPr>
        <w:t>凌明区间</w:t>
      </w:r>
      <w:r>
        <w:rPr>
          <w:rFonts w:ascii="Times New Roman" w:hAnsi="Times New Roman" w:cs="Times New Roman"/>
          <w:szCs w:val="21"/>
        </w:rPr>
        <w:t>支付比例的基数为</w:t>
      </w:r>
      <w:r>
        <w:rPr>
          <w:rFonts w:hint="eastAsia" w:ascii="Times New Roman" w:hAnsi="Times New Roman" w:cs="Times New Roman"/>
          <w:szCs w:val="21"/>
        </w:rPr>
        <w:t>凌明区间</w:t>
      </w:r>
      <w:r>
        <w:rPr>
          <w:rFonts w:ascii="Times New Roman" w:hAnsi="Times New Roman" w:cs="Times New Roman"/>
          <w:szCs w:val="21"/>
        </w:rPr>
        <w:t>合同价。</w:t>
      </w:r>
      <w:r>
        <w:rPr>
          <w:rFonts w:hint="eastAsia" w:ascii="Times New Roman" w:hAnsi="Times New Roman" w:cs="Times New Roman"/>
          <w:szCs w:val="21"/>
        </w:rPr>
        <w:t>其他部分以实际完成监测工作量支付。</w:t>
      </w:r>
    </w:p>
    <w:p>
      <w:pPr>
        <w:pStyle w:val="8"/>
        <w:spacing w:line="460" w:lineRule="exact"/>
        <w:ind w:firstLine="640"/>
        <w:rPr>
          <w:rFonts w:ascii="Times New Roman" w:hAnsi="Times New Roman" w:cs="Times New Roman"/>
          <w:szCs w:val="21"/>
        </w:rPr>
      </w:pPr>
      <w:r>
        <w:rPr>
          <w:rFonts w:ascii="Times New Roman" w:hAnsi="Times New Roman" w:cs="Times New Roman"/>
          <w:szCs w:val="21"/>
        </w:rPr>
        <w:t>合同期满，且乙方组织的最后总结报告和下一个中标的监测单位做完交接经甲方</w:t>
      </w:r>
      <w:r>
        <w:rPr>
          <w:rFonts w:hint="eastAsia" w:ascii="Times New Roman" w:hAnsi="Times New Roman" w:cs="Times New Roman"/>
          <w:szCs w:val="21"/>
        </w:rPr>
        <w:t>（或甲方指定单位）</w:t>
      </w:r>
      <w:r>
        <w:rPr>
          <w:rFonts w:ascii="Times New Roman" w:hAnsi="Times New Roman" w:cs="Times New Roman"/>
          <w:szCs w:val="21"/>
        </w:rPr>
        <w:t>确认，本合同项下所有义务全部履约完毕后，甲方</w:t>
      </w:r>
      <w:r>
        <w:rPr>
          <w:rFonts w:hint="eastAsia" w:ascii="Times New Roman" w:hAnsi="Times New Roman" w:cs="Times New Roman"/>
          <w:szCs w:val="21"/>
        </w:rPr>
        <w:t>（或甲方指定单位）</w:t>
      </w:r>
      <w:r>
        <w:rPr>
          <w:rFonts w:ascii="Times New Roman" w:hAnsi="Times New Roman" w:cs="Times New Roman"/>
          <w:szCs w:val="21"/>
        </w:rPr>
        <w:t>根据最终审核金额结清余款。</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60"/>
        <w:gridCol w:w="1191"/>
        <w:gridCol w:w="1226"/>
        <w:gridCol w:w="1144"/>
        <w:gridCol w:w="1290"/>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59" w:type="dxa"/>
            <w:noWrap/>
            <w:vAlign w:val="center"/>
          </w:tcPr>
          <w:p>
            <w:pPr>
              <w:spacing w:line="360" w:lineRule="auto"/>
              <w:ind w:firstLine="480"/>
              <w:jc w:val="center"/>
              <w:rPr>
                <w:rFonts w:ascii="Times New Roman" w:hAnsi="Times New Roman" w:eastAsia="仿宋" w:cs="Times New Roman"/>
                <w:sz w:val="24"/>
              </w:rPr>
            </w:pPr>
          </w:p>
        </w:tc>
        <w:tc>
          <w:tcPr>
            <w:tcW w:w="1260"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2</w:t>
            </w:r>
            <w:r>
              <w:rPr>
                <w:rFonts w:ascii="Times New Roman" w:hAnsi="Times New Roman" w:eastAsia="仿宋" w:cs="Times New Roman"/>
                <w:sz w:val="18"/>
                <w:szCs w:val="18"/>
              </w:rPr>
              <w:t>年1</w:t>
            </w:r>
            <w:r>
              <w:rPr>
                <w:rFonts w:hint="eastAsia" w:ascii="Times New Roman" w:hAnsi="Times New Roman" w:eastAsia="仿宋" w:cs="Times New Roman"/>
                <w:sz w:val="18"/>
                <w:szCs w:val="18"/>
              </w:rPr>
              <w:t>0</w:t>
            </w:r>
            <w:r>
              <w:rPr>
                <w:rFonts w:ascii="Times New Roman" w:hAnsi="Times New Roman" w:eastAsia="仿宋" w:cs="Times New Roman"/>
                <w:sz w:val="18"/>
                <w:szCs w:val="18"/>
              </w:rPr>
              <w:t>月</w:t>
            </w:r>
          </w:p>
        </w:tc>
        <w:tc>
          <w:tcPr>
            <w:tcW w:w="1191"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3</w:t>
            </w:r>
            <w:r>
              <w:rPr>
                <w:rFonts w:ascii="Times New Roman" w:hAnsi="Times New Roman" w:eastAsia="仿宋" w:cs="Times New Roman"/>
                <w:sz w:val="18"/>
                <w:szCs w:val="18"/>
              </w:rPr>
              <w:t>年</w:t>
            </w:r>
            <w:r>
              <w:rPr>
                <w:rFonts w:hint="eastAsia" w:ascii="Times New Roman" w:hAnsi="Times New Roman" w:eastAsia="仿宋" w:cs="Times New Roman"/>
                <w:sz w:val="18"/>
                <w:szCs w:val="18"/>
              </w:rPr>
              <w:t>4</w:t>
            </w:r>
            <w:r>
              <w:rPr>
                <w:rFonts w:ascii="Times New Roman" w:hAnsi="Times New Roman" w:eastAsia="仿宋" w:cs="Times New Roman"/>
                <w:sz w:val="18"/>
                <w:szCs w:val="18"/>
              </w:rPr>
              <w:t>月</w:t>
            </w:r>
          </w:p>
        </w:tc>
        <w:tc>
          <w:tcPr>
            <w:tcW w:w="1226"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3</w:t>
            </w:r>
            <w:r>
              <w:rPr>
                <w:rFonts w:ascii="Times New Roman" w:hAnsi="Times New Roman" w:eastAsia="仿宋" w:cs="Times New Roman"/>
                <w:sz w:val="18"/>
                <w:szCs w:val="18"/>
              </w:rPr>
              <w:t>年1</w:t>
            </w:r>
            <w:r>
              <w:rPr>
                <w:rFonts w:hint="eastAsia" w:ascii="Times New Roman" w:hAnsi="Times New Roman" w:eastAsia="仿宋" w:cs="Times New Roman"/>
                <w:sz w:val="18"/>
                <w:szCs w:val="18"/>
              </w:rPr>
              <w:t>0</w:t>
            </w:r>
            <w:r>
              <w:rPr>
                <w:rFonts w:ascii="Times New Roman" w:hAnsi="Times New Roman" w:eastAsia="仿宋" w:cs="Times New Roman"/>
                <w:sz w:val="18"/>
                <w:szCs w:val="18"/>
              </w:rPr>
              <w:t>月</w:t>
            </w:r>
          </w:p>
        </w:tc>
        <w:tc>
          <w:tcPr>
            <w:tcW w:w="1144"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4</w:t>
            </w:r>
            <w:r>
              <w:rPr>
                <w:rFonts w:ascii="Times New Roman" w:hAnsi="Times New Roman" w:eastAsia="仿宋" w:cs="Times New Roman"/>
                <w:sz w:val="18"/>
                <w:szCs w:val="18"/>
              </w:rPr>
              <w:t>年</w:t>
            </w:r>
            <w:r>
              <w:rPr>
                <w:rFonts w:hint="eastAsia" w:ascii="Times New Roman" w:hAnsi="Times New Roman" w:eastAsia="仿宋" w:cs="Times New Roman"/>
                <w:sz w:val="18"/>
                <w:szCs w:val="18"/>
              </w:rPr>
              <w:t>4</w:t>
            </w:r>
            <w:r>
              <w:rPr>
                <w:rFonts w:ascii="Times New Roman" w:hAnsi="Times New Roman" w:eastAsia="仿宋" w:cs="Times New Roman"/>
                <w:sz w:val="18"/>
                <w:szCs w:val="18"/>
              </w:rPr>
              <w:t>月</w:t>
            </w:r>
          </w:p>
        </w:tc>
        <w:tc>
          <w:tcPr>
            <w:tcW w:w="1290"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4</w:t>
            </w:r>
            <w:r>
              <w:rPr>
                <w:rFonts w:ascii="Times New Roman" w:hAnsi="Times New Roman" w:eastAsia="仿宋" w:cs="Times New Roman"/>
                <w:sz w:val="18"/>
                <w:szCs w:val="18"/>
              </w:rPr>
              <w:t>年1</w:t>
            </w:r>
            <w:r>
              <w:rPr>
                <w:rFonts w:hint="eastAsia" w:ascii="Times New Roman" w:hAnsi="Times New Roman" w:eastAsia="仿宋" w:cs="Times New Roman"/>
                <w:sz w:val="18"/>
                <w:szCs w:val="18"/>
              </w:rPr>
              <w:t>0</w:t>
            </w:r>
            <w:r>
              <w:rPr>
                <w:rFonts w:ascii="Times New Roman" w:hAnsi="Times New Roman" w:eastAsia="仿宋" w:cs="Times New Roman"/>
                <w:sz w:val="18"/>
                <w:szCs w:val="18"/>
              </w:rPr>
              <w:t>月</w:t>
            </w:r>
          </w:p>
        </w:tc>
        <w:tc>
          <w:tcPr>
            <w:tcW w:w="1244" w:type="dxa"/>
            <w:noWrap/>
            <w:vAlign w:val="center"/>
          </w:tcPr>
          <w:p>
            <w:pPr>
              <w:spacing w:line="0" w:lineRule="atLeast"/>
              <w:ind w:firstLine="0" w:firstLineChars="0"/>
              <w:rPr>
                <w:rFonts w:ascii="Times New Roman" w:hAnsi="Times New Roman" w:eastAsia="仿宋" w:cs="Times New Roman"/>
                <w:sz w:val="18"/>
                <w:szCs w:val="18"/>
              </w:rPr>
            </w:pPr>
            <w:r>
              <w:rPr>
                <w:rFonts w:ascii="Times New Roman" w:hAnsi="Times New Roman" w:eastAsia="仿宋" w:cs="Times New Roman"/>
                <w:sz w:val="18"/>
                <w:szCs w:val="18"/>
              </w:rPr>
              <w:t>202</w:t>
            </w:r>
            <w:r>
              <w:rPr>
                <w:rFonts w:hint="eastAsia" w:ascii="Times New Roman" w:hAnsi="Times New Roman" w:eastAsia="仿宋" w:cs="Times New Roman"/>
                <w:sz w:val="18"/>
                <w:szCs w:val="18"/>
              </w:rPr>
              <w:t>5</w:t>
            </w:r>
            <w:r>
              <w:rPr>
                <w:rFonts w:ascii="Times New Roman" w:hAnsi="Times New Roman" w:eastAsia="仿宋" w:cs="Times New Roman"/>
                <w:sz w:val="18"/>
                <w:szCs w:val="18"/>
              </w:rPr>
              <w:t>年</w:t>
            </w:r>
            <w:r>
              <w:rPr>
                <w:rFonts w:hint="eastAsia" w:ascii="Times New Roman" w:hAnsi="Times New Roman" w:eastAsia="仿宋" w:cs="Times New Roman"/>
                <w:sz w:val="18"/>
                <w:szCs w:val="18"/>
              </w:rPr>
              <w:t>4</w:t>
            </w:r>
            <w:r>
              <w:rPr>
                <w:rFonts w:ascii="Times New Roman" w:hAnsi="Times New Roman" w:eastAsia="仿宋" w:cs="Times New Roman"/>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59" w:type="dxa"/>
            <w:noWrap/>
            <w:vAlign w:val="center"/>
          </w:tcPr>
          <w:p>
            <w:pPr>
              <w:spacing w:line="0" w:lineRule="atLeast"/>
              <w:ind w:firstLine="0" w:firstLineChars="0"/>
              <w:rPr>
                <w:rFonts w:ascii="Times New Roman" w:hAnsi="Times New Roman" w:eastAsia="仿宋" w:cs="Times New Roman"/>
                <w:sz w:val="18"/>
                <w:szCs w:val="18"/>
              </w:rPr>
            </w:pPr>
            <w:r>
              <w:rPr>
                <w:rFonts w:hint="eastAsia" w:ascii="Times New Roman" w:hAnsi="Times New Roman" w:eastAsia="仿宋" w:cs="Times New Roman"/>
                <w:sz w:val="18"/>
                <w:szCs w:val="18"/>
              </w:rPr>
              <w:t>凌明区间</w:t>
            </w:r>
            <w:r>
              <w:rPr>
                <w:rFonts w:ascii="Times New Roman" w:hAnsi="Times New Roman" w:eastAsia="仿宋" w:cs="Times New Roman"/>
                <w:sz w:val="18"/>
                <w:szCs w:val="18"/>
              </w:rPr>
              <w:t>支付</w:t>
            </w:r>
          </w:p>
        </w:tc>
        <w:tc>
          <w:tcPr>
            <w:tcW w:w="1260"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w:t>
            </w:r>
            <w:r>
              <w:rPr>
                <w:rFonts w:ascii="Times New Roman" w:hAnsi="Times New Roman" w:eastAsia="仿宋" w:cs="Times New Roman"/>
                <w:sz w:val="18"/>
                <w:szCs w:val="18"/>
              </w:rPr>
              <w:t>%</w:t>
            </w:r>
          </w:p>
        </w:tc>
        <w:tc>
          <w:tcPr>
            <w:tcW w:w="1191" w:type="dxa"/>
            <w:noWrap/>
            <w:vAlign w:val="center"/>
          </w:tcPr>
          <w:p>
            <w:pPr>
              <w:spacing w:line="0" w:lineRule="atLeast"/>
              <w:ind w:firstLine="0" w:firstLineChars="0"/>
              <w:jc w:val="center"/>
              <w:rPr>
                <w:rFonts w:ascii="Times New Roman" w:hAnsi="Times New Roman" w:eastAsia="仿宋" w:cs="Times New Roman"/>
                <w:sz w:val="18"/>
                <w:szCs w:val="18"/>
              </w:rPr>
            </w:pPr>
            <w:r>
              <w:rPr>
                <w:rFonts w:ascii="Times New Roman" w:hAnsi="Times New Roman" w:eastAsia="仿宋" w:cs="Times New Roman"/>
                <w:sz w:val="18"/>
                <w:szCs w:val="18"/>
              </w:rPr>
              <w:t>15%</w:t>
            </w:r>
          </w:p>
        </w:tc>
        <w:tc>
          <w:tcPr>
            <w:tcW w:w="1226" w:type="dxa"/>
            <w:noWrap/>
            <w:vAlign w:val="center"/>
          </w:tcPr>
          <w:p>
            <w:pPr>
              <w:spacing w:line="0" w:lineRule="atLeast"/>
              <w:ind w:firstLine="0" w:firstLineChars="0"/>
              <w:jc w:val="center"/>
              <w:rPr>
                <w:rFonts w:ascii="Times New Roman" w:hAnsi="Times New Roman" w:eastAsia="仿宋" w:cs="Times New Roman"/>
                <w:sz w:val="18"/>
                <w:szCs w:val="18"/>
              </w:rPr>
            </w:pPr>
            <w:r>
              <w:rPr>
                <w:rFonts w:ascii="Times New Roman" w:hAnsi="Times New Roman" w:eastAsia="仿宋" w:cs="Times New Roman"/>
                <w:sz w:val="18"/>
                <w:szCs w:val="18"/>
              </w:rPr>
              <w:t>15%</w:t>
            </w:r>
          </w:p>
        </w:tc>
        <w:tc>
          <w:tcPr>
            <w:tcW w:w="1144" w:type="dxa"/>
            <w:noWrap/>
            <w:vAlign w:val="center"/>
          </w:tcPr>
          <w:p>
            <w:pPr>
              <w:spacing w:line="0" w:lineRule="atLeast"/>
              <w:ind w:firstLine="0" w:firstLineChars="0"/>
              <w:jc w:val="center"/>
              <w:rPr>
                <w:rFonts w:ascii="Times New Roman" w:hAnsi="Times New Roman" w:eastAsia="仿宋" w:cs="Times New Roman"/>
                <w:sz w:val="18"/>
                <w:szCs w:val="18"/>
              </w:rPr>
            </w:pPr>
            <w:r>
              <w:rPr>
                <w:rFonts w:ascii="Times New Roman" w:hAnsi="Times New Roman" w:eastAsia="仿宋" w:cs="Times New Roman"/>
                <w:sz w:val="18"/>
                <w:szCs w:val="18"/>
              </w:rPr>
              <w:t>15%</w:t>
            </w:r>
          </w:p>
        </w:tc>
        <w:tc>
          <w:tcPr>
            <w:tcW w:w="1290" w:type="dxa"/>
            <w:noWrap/>
            <w:vAlign w:val="center"/>
          </w:tcPr>
          <w:p>
            <w:pPr>
              <w:spacing w:line="0" w:lineRule="atLeast"/>
              <w:ind w:firstLine="0" w:firstLineChars="0"/>
              <w:jc w:val="center"/>
              <w:rPr>
                <w:rFonts w:ascii="Times New Roman" w:hAnsi="Times New Roman" w:eastAsia="仿宋" w:cs="Times New Roman"/>
                <w:sz w:val="18"/>
                <w:szCs w:val="18"/>
              </w:rPr>
            </w:pPr>
            <w:r>
              <w:rPr>
                <w:rFonts w:ascii="Times New Roman" w:hAnsi="Times New Roman" w:eastAsia="仿宋" w:cs="Times New Roman"/>
                <w:sz w:val="18"/>
                <w:szCs w:val="18"/>
              </w:rPr>
              <w:t>15%</w:t>
            </w:r>
          </w:p>
        </w:tc>
        <w:tc>
          <w:tcPr>
            <w:tcW w:w="1244" w:type="dxa"/>
            <w:noWrap/>
            <w:vAlign w:val="center"/>
          </w:tcPr>
          <w:p>
            <w:pPr>
              <w:spacing w:line="0" w:lineRule="atLeast"/>
              <w:ind w:firstLine="0" w:firstLineChars="0"/>
              <w:jc w:val="center"/>
              <w:rPr>
                <w:rFonts w:ascii="Times New Roman" w:hAnsi="Times New Roman" w:eastAsia="仿宋" w:cs="Times New Roman"/>
                <w:sz w:val="18"/>
                <w:szCs w:val="18"/>
              </w:rPr>
            </w:pPr>
            <w:r>
              <w:rPr>
                <w:rFonts w:ascii="Times New Roman" w:hAnsi="Times New Roman" w:eastAsia="仿宋" w:cs="Times New Roman"/>
                <w:sz w:val="18"/>
                <w:szCs w:val="18"/>
              </w:rPr>
              <w:t>1</w:t>
            </w:r>
            <w:r>
              <w:rPr>
                <w:rFonts w:hint="eastAsia" w:ascii="Times New Roman" w:hAnsi="Times New Roman" w:eastAsia="仿宋" w:cs="Times New Roman"/>
                <w:sz w:val="18"/>
                <w:szCs w:val="18"/>
              </w:rPr>
              <w:t>0</w:t>
            </w:r>
            <w:r>
              <w:rPr>
                <w:rFonts w:ascii="Times New Roman" w:hAnsi="Times New Roman" w:eastAsia="仿宋"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59"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义凌区间，后宅、槐堂停车场支付</w:t>
            </w:r>
          </w:p>
        </w:tc>
        <w:tc>
          <w:tcPr>
            <w:tcW w:w="1260"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191"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226"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144"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290"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244"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按合同履约情况一并支付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59" w:type="dxa"/>
            <w:noWrap/>
            <w:vAlign w:val="center"/>
          </w:tcPr>
          <w:p>
            <w:pPr>
              <w:spacing w:line="0" w:lineRule="atLeast"/>
              <w:ind w:firstLine="0" w:firstLineChars="0"/>
              <w:jc w:val="center"/>
              <w:rPr>
                <w:rFonts w:ascii="Times New Roman" w:hAnsi="Times New Roman" w:eastAsia="仿宋" w:cs="Times New Roman"/>
                <w:sz w:val="18"/>
                <w:szCs w:val="18"/>
              </w:rPr>
            </w:pPr>
            <w:bookmarkStart w:id="16" w:name="_Toc10753"/>
            <w:bookmarkStart w:id="17" w:name="_Toc32555"/>
            <w:r>
              <w:rPr>
                <w:rFonts w:ascii="Times New Roman" w:hAnsi="Times New Roman" w:eastAsia="仿宋" w:cs="Times New Roman"/>
                <w:sz w:val="18"/>
                <w:szCs w:val="18"/>
              </w:rPr>
              <w:t>合计</w:t>
            </w:r>
          </w:p>
        </w:tc>
        <w:tc>
          <w:tcPr>
            <w:tcW w:w="1260"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凌明区间固定部分合价*20</w:t>
            </w:r>
            <w:r>
              <w:rPr>
                <w:rFonts w:ascii="Times New Roman" w:hAnsi="Times New Roman" w:eastAsia="仿宋" w:cs="Times New Roman"/>
                <w:sz w:val="18"/>
                <w:szCs w:val="18"/>
              </w:rPr>
              <w:t>%</w:t>
            </w:r>
          </w:p>
        </w:tc>
        <w:tc>
          <w:tcPr>
            <w:tcW w:w="1191"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w:t>
            </w:r>
            <w:r>
              <w:rPr>
                <w:rFonts w:ascii="Times New Roman" w:hAnsi="Times New Roman" w:eastAsia="仿宋" w:cs="Times New Roman"/>
                <w:sz w:val="18"/>
                <w:szCs w:val="18"/>
              </w:rPr>
              <w:t>15%</w:t>
            </w:r>
          </w:p>
        </w:tc>
        <w:tc>
          <w:tcPr>
            <w:tcW w:w="1226"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w:t>
            </w:r>
            <w:r>
              <w:rPr>
                <w:rFonts w:ascii="Times New Roman" w:hAnsi="Times New Roman" w:eastAsia="仿宋" w:cs="Times New Roman"/>
                <w:sz w:val="18"/>
                <w:szCs w:val="18"/>
              </w:rPr>
              <w:t>15%</w:t>
            </w:r>
          </w:p>
        </w:tc>
        <w:tc>
          <w:tcPr>
            <w:tcW w:w="1144"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w:t>
            </w:r>
            <w:r>
              <w:rPr>
                <w:rFonts w:ascii="Times New Roman" w:hAnsi="Times New Roman" w:eastAsia="仿宋" w:cs="Times New Roman"/>
                <w:sz w:val="18"/>
                <w:szCs w:val="18"/>
              </w:rPr>
              <w:t>15%</w:t>
            </w:r>
          </w:p>
        </w:tc>
        <w:tc>
          <w:tcPr>
            <w:tcW w:w="1290"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w:t>
            </w:r>
            <w:r>
              <w:rPr>
                <w:rFonts w:ascii="Times New Roman" w:hAnsi="Times New Roman" w:eastAsia="仿宋" w:cs="Times New Roman"/>
                <w:sz w:val="18"/>
                <w:szCs w:val="18"/>
              </w:rPr>
              <w:t>15%</w:t>
            </w:r>
          </w:p>
        </w:tc>
        <w:tc>
          <w:tcPr>
            <w:tcW w:w="1244" w:type="dxa"/>
            <w:noWrap/>
            <w:vAlign w:val="center"/>
          </w:tcPr>
          <w:p>
            <w:pPr>
              <w:spacing w:line="0" w:lineRule="atLeast"/>
              <w:ind w:firstLine="0" w:firstLineChars="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凌明区间固定部分合价*</w:t>
            </w:r>
            <w:r>
              <w:rPr>
                <w:rFonts w:ascii="Times New Roman" w:hAnsi="Times New Roman" w:eastAsia="仿宋" w:cs="Times New Roman"/>
                <w:sz w:val="18"/>
                <w:szCs w:val="18"/>
              </w:rPr>
              <w:t>1</w:t>
            </w:r>
            <w:r>
              <w:rPr>
                <w:rFonts w:hint="eastAsia" w:ascii="Times New Roman" w:hAnsi="Times New Roman" w:eastAsia="仿宋" w:cs="Times New Roman"/>
                <w:sz w:val="18"/>
                <w:szCs w:val="18"/>
              </w:rPr>
              <w:t>0</w:t>
            </w:r>
            <w:r>
              <w:rPr>
                <w:rFonts w:ascii="Times New Roman" w:hAnsi="Times New Roman" w:eastAsia="仿宋" w:cs="Times New Roman"/>
                <w:sz w:val="18"/>
                <w:szCs w:val="18"/>
              </w:rPr>
              <w:t>%</w:t>
            </w:r>
            <w:r>
              <w:rPr>
                <w:rFonts w:hint="eastAsia" w:ascii="Times New Roman" w:hAnsi="Times New Roman" w:eastAsia="仿宋" w:cs="Times New Roman"/>
                <w:sz w:val="18"/>
                <w:szCs w:val="18"/>
              </w:rPr>
              <w:t>+义凌区间，后宅、槐堂停车场实际完成额</w:t>
            </w:r>
          </w:p>
        </w:tc>
      </w:tr>
    </w:tbl>
    <w:p>
      <w:pPr>
        <w:ind w:firstLine="640"/>
        <w:outlineLvl w:val="1"/>
        <w:rPr>
          <w:rFonts w:ascii="仿宋_GB2312" w:hAnsi="仿宋_GB2312"/>
        </w:rPr>
      </w:pPr>
      <w:r>
        <w:rPr>
          <w:rFonts w:hint="eastAsia" w:ascii="仿宋_GB2312" w:hAnsi="仿宋_GB2312"/>
        </w:rPr>
        <w:t>4.2结构监测具体内容</w:t>
      </w:r>
      <w:bookmarkEnd w:id="16"/>
      <w:bookmarkEnd w:id="17"/>
    </w:p>
    <w:p>
      <w:pPr>
        <w:pStyle w:val="6"/>
        <w:spacing w:line="580" w:lineRule="exact"/>
        <w:ind w:firstLine="640"/>
        <w:rPr>
          <w:rFonts w:ascii="仿宋_GB2312" w:hAnsi="仿宋_GB2312"/>
        </w:rPr>
      </w:pPr>
      <w:r>
        <w:rPr>
          <w:rFonts w:hint="eastAsia" w:ascii="仿宋_GB2312" w:hAnsi="仿宋_GB2312"/>
        </w:rPr>
        <w:t>4.2.1车站结构、U型槽结构、盾构隧道、山岭隧道、高架桥梁、车辆段和停车场的竖向沉降变形测量。</w:t>
      </w:r>
    </w:p>
    <w:p>
      <w:pPr>
        <w:pStyle w:val="6"/>
        <w:spacing w:line="580" w:lineRule="exact"/>
        <w:ind w:firstLine="640"/>
        <w:rPr>
          <w:rFonts w:ascii="仿宋_GB2312" w:hAnsi="仿宋_GB2312"/>
        </w:rPr>
      </w:pPr>
      <w:r>
        <w:rPr>
          <w:rFonts w:hint="eastAsia" w:ascii="仿宋_GB2312" w:hAnsi="仿宋_GB2312"/>
        </w:rPr>
        <w:t>4.2.2盾构隧道和山岭隧道收敛变形测量。</w:t>
      </w:r>
    </w:p>
    <w:p>
      <w:pPr>
        <w:pStyle w:val="6"/>
        <w:spacing w:line="580" w:lineRule="exact"/>
        <w:ind w:firstLine="640"/>
        <w:rPr>
          <w:rFonts w:ascii="仿宋_GB2312" w:hAnsi="仿宋_GB2312"/>
        </w:rPr>
      </w:pPr>
      <w:r>
        <w:rPr>
          <w:rFonts w:hint="eastAsia" w:ascii="仿宋_GB2312" w:hAnsi="仿宋_GB2312"/>
        </w:rPr>
        <w:t>4.2.3明挖结构（车站、风井、盾构井）、桥涵与区间隧道交接处、隧道与联络通道处等的差异沉降测量。</w:t>
      </w:r>
    </w:p>
    <w:p>
      <w:pPr>
        <w:pStyle w:val="6"/>
        <w:spacing w:line="580" w:lineRule="exact"/>
        <w:ind w:firstLine="640"/>
        <w:rPr>
          <w:rFonts w:ascii="仿宋_GB2312" w:hAnsi="仿宋_GB2312"/>
        </w:rPr>
      </w:pPr>
      <w:r>
        <w:rPr>
          <w:rFonts w:hint="eastAsia" w:ascii="仿宋_GB2312" w:hAnsi="仿宋_GB2312"/>
        </w:rPr>
        <w:t>4.2.4高程基准系统复测。</w:t>
      </w:r>
    </w:p>
    <w:p>
      <w:pPr>
        <w:pStyle w:val="6"/>
        <w:spacing w:line="580" w:lineRule="exact"/>
        <w:ind w:firstLine="640"/>
        <w:rPr>
          <w:rFonts w:ascii="仿宋_GB2312" w:hAnsi="仿宋_GB2312"/>
        </w:rPr>
      </w:pPr>
      <w:r>
        <w:rPr>
          <w:rFonts w:hint="eastAsia" w:ascii="仿宋_GB2312" w:hAnsi="仿宋_GB2312"/>
        </w:rPr>
        <w:t>4.2.5开展地面巡查和保护区标识牌维护（含巡查及维修）工作，对保护区标识牌维护和地面工程活动引起的隧道结构变形应及时监测并报告，每三个月递交一次监测巡查报告(巡查区域仅为地铁保护区内，不包括车站及附属、隧道内结构设施等)。</w:t>
      </w:r>
    </w:p>
    <w:p>
      <w:pPr>
        <w:pStyle w:val="6"/>
        <w:spacing w:line="580" w:lineRule="exact"/>
        <w:ind w:firstLine="640"/>
        <w:rPr>
          <w:rFonts w:ascii="仿宋_GB2312" w:hAnsi="仿宋_GB2312"/>
        </w:rPr>
      </w:pPr>
      <w:r>
        <w:rPr>
          <w:rFonts w:hint="eastAsia" w:ascii="仿宋_GB2312" w:hAnsi="仿宋_GB2312"/>
        </w:rPr>
        <w:t>4.2.6重要建构筑物的沉降监测点布设及监测。（监测单位应了解、熟知地铁沿线的重要建构筑物与地铁隧道、车站及附属结构的相对位置关系，以备工作需要时进行加密监测）。</w:t>
      </w:r>
    </w:p>
    <w:p>
      <w:pPr>
        <w:pStyle w:val="2"/>
        <w:spacing w:line="580" w:lineRule="exact"/>
        <w:ind w:left="0" w:leftChars="0" w:firstLine="640"/>
        <w:rPr>
          <w:rFonts w:ascii="仿宋_GB2312" w:hAnsi="仿宋_GB2312"/>
          <w:szCs w:val="20"/>
        </w:rPr>
      </w:pPr>
      <w:r>
        <w:rPr>
          <w:rFonts w:ascii="仿宋_GB2312" w:hAnsi="仿宋_GB2312"/>
          <w:szCs w:val="20"/>
        </w:rPr>
        <w:t>4.2.7其他</w:t>
      </w:r>
      <w:r>
        <w:rPr>
          <w:rFonts w:hint="eastAsia" w:ascii="仿宋_GB2312" w:hAnsi="仿宋_GB2312"/>
          <w:szCs w:val="20"/>
        </w:rPr>
        <w:t>要求新增或加密监测点布设及加密监测点数，工程量未超过合同总工程量（指合同中总监测点数）30%的，费用包含在合同总价内，不作调整；工程量超过总工程量（指合同中总监测点数）30%的，超出30%以外的部分按照单项单次/单个综合单价的最低价进行结算。</w:t>
      </w:r>
    </w:p>
    <w:p>
      <w:pPr>
        <w:pStyle w:val="6"/>
        <w:spacing w:line="580" w:lineRule="exact"/>
        <w:ind w:firstLine="640"/>
        <w:outlineLvl w:val="1"/>
        <w:rPr>
          <w:rFonts w:ascii="仿宋_GB2312" w:hAnsi="仿宋_GB2312"/>
        </w:rPr>
      </w:pPr>
      <w:bookmarkStart w:id="18" w:name="_Toc23895"/>
      <w:r>
        <w:rPr>
          <w:rFonts w:hint="eastAsia" w:ascii="仿宋_GB2312" w:hAnsi="仿宋_GB2312"/>
        </w:rPr>
        <w:t>4.3结构监测布点要求</w:t>
      </w:r>
      <w:bookmarkEnd w:id="18"/>
    </w:p>
    <w:p>
      <w:pPr>
        <w:ind w:firstLine="640"/>
        <w:rPr>
          <w:rFonts w:ascii="仿宋_GB2312" w:hAnsi="仿宋_GB2312"/>
        </w:rPr>
      </w:pPr>
      <w:bookmarkStart w:id="19" w:name="_Toc3450"/>
      <w:r>
        <w:rPr>
          <w:rFonts w:hint="eastAsia" w:ascii="仿宋_GB2312" w:hAnsi="仿宋_GB2312"/>
        </w:rPr>
        <w:t>4.3.1</w:t>
      </w:r>
      <w:bookmarkEnd w:id="19"/>
      <w:r>
        <w:rPr>
          <w:rFonts w:hint="eastAsia" w:ascii="仿宋_GB2312" w:hAnsi="仿宋_GB2312"/>
        </w:rPr>
        <w:t>深桩水准点分布</w:t>
      </w:r>
    </w:p>
    <w:p>
      <w:pPr>
        <w:ind w:firstLine="640"/>
        <w:rPr>
          <w:rFonts w:ascii="仿宋_GB2312" w:hAnsi="仿宋_GB2312"/>
        </w:rPr>
      </w:pPr>
      <w:r>
        <w:rPr>
          <w:rFonts w:hint="eastAsia" w:ascii="仿宋_GB2312" w:hAnsi="仿宋_GB2312"/>
        </w:rPr>
        <w:t>义东市域轨道沿线共布置4个深桩水准点，区间2个，两个停车场内各布置1个。</w:t>
      </w:r>
    </w:p>
    <w:p>
      <w:pPr>
        <w:ind w:firstLine="640"/>
        <w:rPr>
          <w:rFonts w:ascii="仿宋_GB2312" w:hAnsi="仿宋_GB2312"/>
        </w:rPr>
      </w:pPr>
      <w:r>
        <w:rPr>
          <w:rFonts w:hint="eastAsia" w:ascii="仿宋_GB2312" w:hAnsi="仿宋_GB2312"/>
        </w:rPr>
        <w:t>（1）深桩水准点的埋设方式</w:t>
      </w:r>
    </w:p>
    <w:p>
      <w:pPr>
        <w:ind w:firstLine="640"/>
        <w:rPr>
          <w:rFonts w:ascii="仿宋_GB2312" w:hAnsi="仿宋_GB2312"/>
        </w:rPr>
      </w:pPr>
      <w:r>
        <w:rPr>
          <w:rFonts w:hint="eastAsia" w:ascii="仿宋_GB2312" w:hAnsi="仿宋_GB2312"/>
        </w:rPr>
        <w:t>深桩水准点采用钢筋混凝土灌注桩形式，桩径600mm，桩底进入中风化岩层不小于1m或圆砾层2m，混凝土等级为水下C25，配筋按《2004浙G23图集》A2标准。</w:t>
      </w:r>
    </w:p>
    <w:p>
      <w:pPr>
        <w:ind w:firstLine="640"/>
        <w:rPr>
          <w:rFonts w:ascii="仿宋_GB2312" w:hAnsi="仿宋_GB2312"/>
        </w:rPr>
      </w:pPr>
      <w:r>
        <w:rPr>
          <w:rFonts w:hint="eastAsia" w:ascii="仿宋_GB2312" w:hAnsi="仿宋_GB2312"/>
        </w:rPr>
        <w:t>深桩水准点设置明、暗标志。明标为主标志，暗标为辅助性标志。暗标埋设于明标的正北方向约0.4m处。一般情况下暗标不使用，仅使用明标志。暗标在第一次观测完成后用土覆盖，仅在明标遭破坏时应急启用。标志施工时，注意将桩顶的泛浆凿除。具体标志埋设规格如下图所示。</w:t>
      </w:r>
    </w:p>
    <w:p>
      <w:pPr>
        <w:ind w:firstLine="640"/>
        <w:rPr>
          <w:rFonts w:ascii="仿宋_GB2312" w:hAnsi="仿宋_GB2312"/>
        </w:rPr>
      </w:pPr>
      <w:r>
        <w:rPr>
          <w:rFonts w:hint="eastAsia" w:ascii="仿宋_GB2312" w:hAnsi="仿宋_GB2312"/>
        </w:rPr>
        <w:t>深桩施工完成后，进行低应变检测，检测桩身的完整性，确保桩身结构完整可靠。新埋点位稳定一个月以上再进行观测。水准点埋设结束后，绘制点之记。</w:t>
      </w:r>
    </w:p>
    <w:p>
      <w:pPr>
        <w:spacing w:line="360" w:lineRule="auto"/>
        <w:ind w:firstLine="0" w:firstLineChars="0"/>
        <w:jc w:val="center"/>
        <w:rPr>
          <w:rFonts w:ascii="宋体" w:hAnsi="宋体" w:eastAsia="宋体" w:cs="宋体"/>
          <w:sz w:val="24"/>
        </w:rPr>
      </w:pPr>
      <w:r>
        <w:rPr>
          <w:rFonts w:hint="eastAsia" w:ascii="宋体" w:hAnsi="宋体" w:eastAsia="宋体" w:cs="宋体"/>
          <w:sz w:val="21"/>
        </w:rPr>
        <w:drawing>
          <wp:inline distT="0" distB="0" distL="0" distR="0">
            <wp:extent cx="3990975" cy="2990850"/>
            <wp:effectExtent l="0" t="0" r="1905" b="11430"/>
            <wp:docPr id="54" name="图片 54" descr="d:\Documents\Tencent Files\84419763\Image\C2C\6@`N6)HN46MVDV2@]2QUS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Documents\Tencent Files\84419763\Image\C2C\6@`N6)HN46MVDV2@]2QUSG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90975" cy="2990850"/>
                    </a:xfrm>
                    <a:prstGeom prst="rect">
                      <a:avLst/>
                    </a:prstGeom>
                    <a:noFill/>
                    <a:ln>
                      <a:noFill/>
                    </a:ln>
                  </pic:spPr>
                </pic:pic>
              </a:graphicData>
            </a:graphic>
          </wp:inline>
        </w:drawing>
      </w:r>
    </w:p>
    <w:p>
      <w:pPr>
        <w:spacing w:line="360" w:lineRule="auto"/>
        <w:ind w:firstLine="0" w:firstLineChars="0"/>
        <w:jc w:val="center"/>
        <w:rPr>
          <w:rFonts w:ascii="宋体" w:hAnsi="宋体" w:eastAsia="宋体" w:cs="宋体"/>
          <w:sz w:val="21"/>
          <w:szCs w:val="23"/>
        </w:rPr>
      </w:pPr>
      <w:r>
        <w:rPr>
          <w:rFonts w:hint="eastAsia" w:ascii="宋体" w:hAnsi="宋体" w:eastAsia="宋体" w:cs="宋体"/>
          <w:sz w:val="21"/>
          <w:szCs w:val="23"/>
        </w:rPr>
        <w:t>《2004浙G23图集》A2标准</w:t>
      </w:r>
    </w:p>
    <w:p>
      <w:pPr>
        <w:widowControl/>
        <w:spacing w:line="276" w:lineRule="auto"/>
        <w:ind w:firstLine="0" w:firstLineChars="0"/>
        <w:jc w:val="center"/>
        <w:rPr>
          <w:rFonts w:ascii="宋体" w:hAnsi="宋体" w:eastAsia="宋体" w:cs="宋体"/>
          <w:kern w:val="0"/>
          <w:sz w:val="24"/>
          <w:szCs w:val="24"/>
        </w:rPr>
      </w:pPr>
      <w:r>
        <w:rPr>
          <w:rFonts w:hint="eastAsia" w:ascii="宋体" w:hAnsi="宋体" w:eastAsia="宋体" w:cs="宋体"/>
          <w:sz w:val="21"/>
          <w:szCs w:val="24"/>
        </w:rPr>
        <w:drawing>
          <wp:inline distT="0" distB="0" distL="114300" distR="114300">
            <wp:extent cx="4176395" cy="301625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30046" t="33585" r="49190" b="36536"/>
                    <a:stretch>
                      <a:fillRect/>
                    </a:stretch>
                  </pic:blipFill>
                  <pic:spPr>
                    <a:xfrm>
                      <a:off x="0" y="0"/>
                      <a:ext cx="4176395" cy="301625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深桩水准点上部标志埋设规格图（单位：mm）</w:t>
      </w:r>
    </w:p>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drawing>
          <wp:inline distT="0" distB="0" distL="114300" distR="114300">
            <wp:extent cx="2944495" cy="2599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rcRect l="5452" t="11153" r="52061" b="7390"/>
                    <a:stretch>
                      <a:fillRect/>
                    </a:stretch>
                  </pic:blipFill>
                  <pic:spPr>
                    <a:xfrm>
                      <a:off x="0" y="0"/>
                      <a:ext cx="2944495" cy="2599055"/>
                    </a:xfrm>
                    <a:prstGeom prst="rect">
                      <a:avLst/>
                    </a:prstGeom>
                    <a:noFill/>
                    <a:ln>
                      <a:noFill/>
                    </a:ln>
                  </pic:spPr>
                </pic:pic>
              </a:graphicData>
            </a:graphic>
          </wp:inline>
        </w:drawing>
      </w:r>
    </w:p>
    <w:p>
      <w:pPr>
        <w:ind w:firstLine="0" w:firstLineChars="0"/>
        <w:jc w:val="center"/>
        <w:rPr>
          <w:rFonts w:ascii="宋体" w:hAnsi="宋体" w:eastAsia="宋体" w:cs="宋体"/>
          <w:sz w:val="21"/>
          <w:szCs w:val="21"/>
        </w:rPr>
      </w:pPr>
      <w:r>
        <w:rPr>
          <w:rFonts w:hint="eastAsia" w:ascii="宋体" w:hAnsi="宋体" w:eastAsia="宋体" w:cs="宋体"/>
          <w:sz w:val="21"/>
          <w:szCs w:val="21"/>
        </w:rPr>
        <w:t>深埋水准点点标志详图（单位：mm）</w:t>
      </w:r>
    </w:p>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drawing>
          <wp:inline distT="0" distB="0" distL="0" distR="0">
            <wp:extent cx="2011680" cy="2049780"/>
            <wp:effectExtent l="0" t="0" r="0" b="0"/>
            <wp:docPr id="46" name="图片 46" descr="钢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钢头1"/>
                    <pic:cNvPicPr>
                      <a:picLocks noChangeAspect="1" noChangeArrowheads="1"/>
                    </pic:cNvPicPr>
                  </pic:nvPicPr>
                  <pic:blipFill>
                    <a:blip r:embed="rId16">
                      <a:extLst>
                        <a:ext uri="{28A0092B-C50C-407E-A947-70E740481C1C}">
                          <a14:useLocalDpi xmlns:a14="http://schemas.microsoft.com/office/drawing/2010/main" val="0"/>
                        </a:ext>
                      </a:extLst>
                    </a:blip>
                    <a:srcRect l="16092"/>
                    <a:stretch>
                      <a:fillRect/>
                    </a:stretch>
                  </pic:blipFill>
                  <pic:spPr>
                    <a:xfrm>
                      <a:off x="0" y="0"/>
                      <a:ext cx="2011680" cy="204978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深埋水准点钢头标志照片</w:t>
      </w:r>
    </w:p>
    <w:p>
      <w:pPr>
        <w:ind w:firstLine="640"/>
        <w:rPr>
          <w:rFonts w:ascii="仿宋_GB2312" w:hAnsi="仿宋_GB2312"/>
        </w:rPr>
      </w:pPr>
    </w:p>
    <w:p>
      <w:pPr>
        <w:ind w:firstLine="640"/>
        <w:rPr>
          <w:rFonts w:ascii="Times New Roman" w:hAnsi="Times New Roman" w:cs="Times New Roman"/>
        </w:rPr>
      </w:pPr>
      <w:r>
        <w:rPr>
          <w:rFonts w:hint="eastAsia" w:ascii="仿宋_GB2312" w:hAnsi="仿宋_GB2312"/>
        </w:rPr>
        <w:t>（2）</w:t>
      </w:r>
      <w:r>
        <w:rPr>
          <w:rFonts w:ascii="Times New Roman" w:hAnsi="Times New Roman" w:cs="Times New Roman"/>
        </w:rPr>
        <w:t>深桩水准点联测</w:t>
      </w:r>
    </w:p>
    <w:p>
      <w:pPr>
        <w:ind w:firstLine="640"/>
        <w:rPr>
          <w:rFonts w:ascii="Times New Roman" w:hAnsi="Times New Roman" w:cs="Times New Roman"/>
        </w:rPr>
      </w:pPr>
      <w:r>
        <w:rPr>
          <w:rFonts w:ascii="Times New Roman" w:hAnsi="Times New Roman" w:cs="Times New Roman"/>
        </w:rPr>
        <w:t>对已知深桩水准点进行复核，建立长期运营监测高程控制网，作为结构长期变形监测的起算依据。长期运营监测的高程控制网与所在城市高程系统保持一致。</w:t>
      </w:r>
    </w:p>
    <w:p>
      <w:pPr>
        <w:ind w:firstLine="640"/>
        <w:rPr>
          <w:rFonts w:ascii="Times New Roman" w:hAnsi="Times New Roman" w:cs="Times New Roman"/>
        </w:rPr>
      </w:pPr>
      <w:r>
        <w:rPr>
          <w:rFonts w:ascii="Times New Roman" w:hAnsi="Times New Roman" w:cs="Times New Roman"/>
        </w:rPr>
        <w:t>-高程控制网沿线路走向布设水准测量路线，按国家一等水准测量精度要求进行施测并形成附合水准线路。</w:t>
      </w:r>
    </w:p>
    <w:p>
      <w:pPr>
        <w:ind w:firstLine="640"/>
        <w:rPr>
          <w:rFonts w:ascii="Times New Roman" w:hAnsi="Times New Roman" w:cs="Times New Roman"/>
        </w:rPr>
      </w:pPr>
      <w:r>
        <w:rPr>
          <w:rFonts w:ascii="Times New Roman" w:hAnsi="Times New Roman" w:cs="Times New Roman"/>
        </w:rPr>
        <w:t>-长期变形监测高程控制基准网将定期进行复测，复测频率为</w:t>
      </w:r>
      <w:r>
        <w:rPr>
          <w:rFonts w:hint="eastAsia" w:ascii="Times New Roman" w:hAnsi="Times New Roman" w:cs="Times New Roman"/>
        </w:rPr>
        <w:t>第一年为三个月</w:t>
      </w:r>
      <w:r>
        <w:rPr>
          <w:rFonts w:ascii="Times New Roman" w:hAnsi="Times New Roman" w:cs="Times New Roman"/>
        </w:rPr>
        <w:t>/次</w:t>
      </w:r>
      <w:r>
        <w:rPr>
          <w:rFonts w:hint="eastAsia" w:ascii="Times New Roman" w:hAnsi="Times New Roman" w:cs="Times New Roman"/>
        </w:rPr>
        <w:t>，第二年及以后为</w:t>
      </w:r>
      <w:r>
        <w:rPr>
          <w:rFonts w:ascii="Times New Roman" w:hAnsi="Times New Roman" w:cs="Times New Roman"/>
        </w:rPr>
        <w:t>半年/次。</w:t>
      </w:r>
    </w:p>
    <w:p>
      <w:pPr>
        <w:ind w:firstLine="640"/>
        <w:rPr>
          <w:rFonts w:ascii="Times New Roman" w:hAnsi="Times New Roman" w:cs="Times New Roman"/>
        </w:rPr>
      </w:pPr>
      <w:r>
        <w:rPr>
          <w:rFonts w:ascii="Times New Roman" w:hAnsi="Times New Roman" w:cs="Times New Roman"/>
        </w:rPr>
        <w:t>-高程控制网的主要技术要求详见下表。</w:t>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高程控制网的主要技术要求</w:t>
      </w:r>
    </w:p>
    <w:tbl>
      <w:tblPr>
        <w:tblStyle w:val="15"/>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67"/>
        <w:gridCol w:w="1195"/>
        <w:gridCol w:w="1197"/>
        <w:gridCol w:w="854"/>
        <w:gridCol w:w="1367"/>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高程监测</w:t>
            </w:r>
          </w:p>
        </w:tc>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水准测量等级</w:t>
            </w:r>
          </w:p>
        </w:tc>
        <w:tc>
          <w:tcPr>
            <w:tcW w:w="2392" w:type="dxa"/>
            <w:gridSpan w:val="2"/>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每千米高差中数中误差（mm）</w:t>
            </w:r>
          </w:p>
        </w:tc>
        <w:tc>
          <w:tcPr>
            <w:tcW w:w="854"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水准仪等级</w:t>
            </w:r>
          </w:p>
        </w:tc>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水准尺</w:t>
            </w:r>
          </w:p>
        </w:tc>
        <w:tc>
          <w:tcPr>
            <w:tcW w:w="1714"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往返较差、附合或环线闭合差（mm）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67" w:type="dxa"/>
            <w:vMerge w:val="continue"/>
            <w:vAlign w:val="center"/>
          </w:tcPr>
          <w:p>
            <w:pPr>
              <w:ind w:firstLine="0" w:firstLineChars="0"/>
              <w:jc w:val="center"/>
              <w:rPr>
                <w:rFonts w:ascii="宋体" w:hAnsi="宋体" w:eastAsia="宋体" w:cs="宋体"/>
                <w:bCs/>
                <w:sz w:val="21"/>
                <w:szCs w:val="21"/>
              </w:rPr>
            </w:pPr>
          </w:p>
        </w:tc>
        <w:tc>
          <w:tcPr>
            <w:tcW w:w="1367" w:type="dxa"/>
            <w:vMerge w:val="continue"/>
            <w:vAlign w:val="center"/>
          </w:tcPr>
          <w:p>
            <w:pPr>
              <w:ind w:firstLine="0" w:firstLineChars="0"/>
              <w:jc w:val="center"/>
              <w:rPr>
                <w:rFonts w:ascii="宋体" w:hAnsi="宋体" w:eastAsia="宋体" w:cs="宋体"/>
                <w:bCs/>
                <w:sz w:val="21"/>
                <w:szCs w:val="21"/>
              </w:rPr>
            </w:pP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偶然中误差MΔ</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全中误差Mw</w:t>
            </w:r>
          </w:p>
        </w:tc>
        <w:tc>
          <w:tcPr>
            <w:tcW w:w="854" w:type="dxa"/>
            <w:vMerge w:val="continue"/>
            <w:vAlign w:val="center"/>
          </w:tcPr>
          <w:p>
            <w:pPr>
              <w:ind w:firstLine="0" w:firstLineChars="0"/>
              <w:jc w:val="center"/>
              <w:rPr>
                <w:rFonts w:ascii="宋体" w:hAnsi="宋体" w:eastAsia="宋体" w:cs="宋体"/>
                <w:bCs/>
                <w:sz w:val="21"/>
                <w:szCs w:val="21"/>
              </w:rPr>
            </w:pPr>
          </w:p>
        </w:tc>
        <w:tc>
          <w:tcPr>
            <w:tcW w:w="1367" w:type="dxa"/>
            <w:vMerge w:val="continue"/>
            <w:vAlign w:val="center"/>
          </w:tcPr>
          <w:p>
            <w:pPr>
              <w:ind w:firstLine="0" w:firstLineChars="0"/>
              <w:jc w:val="center"/>
              <w:rPr>
                <w:rFonts w:ascii="宋体" w:hAnsi="宋体" w:eastAsia="宋体" w:cs="宋体"/>
                <w:bCs/>
                <w:sz w:val="21"/>
                <w:szCs w:val="21"/>
              </w:rPr>
            </w:pPr>
          </w:p>
        </w:tc>
        <w:tc>
          <w:tcPr>
            <w:tcW w:w="1714" w:type="dxa"/>
            <w:vMerge w:val="continue"/>
            <w:vAlign w:val="center"/>
          </w:tcPr>
          <w:p>
            <w:pPr>
              <w:ind w:firstLine="0" w:firstLineChars="0"/>
              <w:jc w:val="center"/>
              <w:rPr>
                <w:rFonts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高程基准控制网</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国家一等</w:t>
            </w: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±0.45</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±1.0</w:t>
            </w:r>
          </w:p>
        </w:tc>
        <w:tc>
          <w:tcPr>
            <w:tcW w:w="85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DS1</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铟瓦尺或条码尺</w:t>
            </w:r>
          </w:p>
        </w:tc>
        <w:tc>
          <w:tcPr>
            <w:tcW w:w="171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w:t>
            </w:r>
            <w:r>
              <w:rPr>
                <w:rFonts w:hint="eastAsia" w:ascii="宋体" w:hAnsi="宋体" w:eastAsia="宋体" w:cs="宋体"/>
                <w:position w:val="-6"/>
                <w:sz w:val="21"/>
                <w:szCs w:val="21"/>
              </w:rPr>
              <w:drawing>
                <wp:inline distT="0" distB="0" distL="0" distR="0">
                  <wp:extent cx="426720" cy="22098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6720" cy="220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沉降监测水准网</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国家二等</w:t>
            </w: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±1</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±2.0</w:t>
            </w:r>
          </w:p>
        </w:tc>
        <w:tc>
          <w:tcPr>
            <w:tcW w:w="85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DS1</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铟瓦尺或条码尺</w:t>
            </w:r>
          </w:p>
        </w:tc>
        <w:tc>
          <w:tcPr>
            <w:tcW w:w="171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w:t>
            </w:r>
            <w:r>
              <w:rPr>
                <w:rFonts w:hint="eastAsia" w:ascii="宋体" w:hAnsi="宋体" w:eastAsia="宋体" w:cs="宋体"/>
                <w:position w:val="-6"/>
                <w:sz w:val="21"/>
                <w:szCs w:val="21"/>
              </w:rPr>
              <w:drawing>
                <wp:inline distT="0" distB="0" distL="0" distR="0">
                  <wp:extent cx="335280" cy="22098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5280" cy="220980"/>
                          </a:xfrm>
                          <a:prstGeom prst="rect">
                            <a:avLst/>
                          </a:prstGeom>
                          <a:noFill/>
                          <a:ln>
                            <a:noFill/>
                          </a:ln>
                        </pic:spPr>
                      </pic:pic>
                    </a:graphicData>
                  </a:graphic>
                </wp:inline>
              </w:drawing>
            </w:r>
          </w:p>
        </w:tc>
      </w:tr>
    </w:tbl>
    <w:p>
      <w:pPr>
        <w:spacing w:line="276" w:lineRule="auto"/>
        <w:ind w:firstLine="0" w:firstLineChars="0"/>
        <w:jc w:val="left"/>
        <w:rPr>
          <w:rFonts w:ascii="Times New Roman" w:hAnsi="Times New Roman" w:eastAsia="宋体" w:cs="Times New Roman"/>
          <w:bCs/>
          <w:sz w:val="21"/>
          <w:szCs w:val="21"/>
        </w:rPr>
      </w:pPr>
      <w:r>
        <w:rPr>
          <w:rFonts w:ascii="Times New Roman" w:hAnsi="Times New Roman" w:eastAsia="宋体" w:cs="Times New Roman"/>
          <w:bCs/>
          <w:sz w:val="21"/>
          <w:szCs w:val="21"/>
        </w:rPr>
        <w:t>注：1、L为往返测段、附合或环线的路线长（以km计）；</w:t>
      </w:r>
    </w:p>
    <w:p>
      <w:pPr>
        <w:numPr>
          <w:ilvl w:val="0"/>
          <w:numId w:val="2"/>
        </w:numPr>
        <w:spacing w:line="276" w:lineRule="auto"/>
        <w:ind w:firstLine="0" w:firstLineChars="0"/>
        <w:jc w:val="left"/>
        <w:rPr>
          <w:rFonts w:ascii="Times New Roman" w:hAnsi="Times New Roman" w:eastAsia="宋体" w:cs="Times New Roman"/>
          <w:bCs/>
          <w:sz w:val="21"/>
          <w:szCs w:val="21"/>
        </w:rPr>
      </w:pPr>
      <w:r>
        <w:rPr>
          <w:rFonts w:ascii="Times New Roman" w:hAnsi="Times New Roman" w:eastAsia="宋体" w:cs="Times New Roman"/>
          <w:bCs/>
          <w:sz w:val="21"/>
          <w:szCs w:val="21"/>
        </w:rPr>
        <w:t>采用数字水准仪测量的技术要求与同等级的光学水准仪测量技术要求相同。</w:t>
      </w:r>
    </w:p>
    <w:p>
      <w:pPr>
        <w:ind w:firstLine="640"/>
        <w:rPr>
          <w:rFonts w:ascii="Times New Roman" w:hAnsi="Times New Roman" w:cs="Times New Roman"/>
        </w:rPr>
      </w:pPr>
      <w:r>
        <w:rPr>
          <w:rFonts w:hint="eastAsia" w:ascii="仿宋_GB2312" w:hAnsi="仿宋_GB2312"/>
        </w:rPr>
        <w:t>(3)</w:t>
      </w:r>
      <w:r>
        <w:rPr>
          <w:rFonts w:hint="eastAsia" w:ascii="Times New Roman" w:hAnsi="Times New Roman" w:cs="Times New Roman"/>
        </w:rPr>
        <w:t>深桩水准点与工作基点、监测点的联测</w:t>
      </w:r>
    </w:p>
    <w:p>
      <w:pPr>
        <w:ind w:firstLine="640"/>
        <w:rPr>
          <w:rFonts w:ascii="Times New Roman" w:hAnsi="Times New Roman" w:cs="Times New Roman"/>
        </w:rPr>
      </w:pPr>
      <w:r>
        <w:rPr>
          <w:rFonts w:hint="eastAsia" w:ascii="Times New Roman" w:hAnsi="Times New Roman" w:cs="Times New Roman"/>
        </w:rPr>
        <w:t>每次深桩水准点联测时应联测车站内所有道床沉降点，根据车站沉降点监测数据两两比对后，取高差互差较为稳定的测点作为隧道内沉降监测工作基点和起算点；通过相邻两个车站的稳定工作基点进行联测，形成附合水准路线。深桩水准点与车站内的工作基点进行联测，定期校核工作基点和深桩水准点的稳定性。</w:t>
      </w:r>
    </w:p>
    <w:p>
      <w:pPr>
        <w:snapToGrid w:val="0"/>
        <w:spacing w:line="276" w:lineRule="auto"/>
        <w:ind w:firstLine="480"/>
        <w:rPr>
          <w:rFonts w:ascii="宋体" w:hAnsi="宋体" w:cs="宋体"/>
          <w:sz w:val="24"/>
        </w:rPr>
      </w:pPr>
    </w:p>
    <w:p>
      <w:pPr>
        <w:widowControl/>
        <w:spacing w:line="276" w:lineRule="auto"/>
        <w:ind w:firstLine="480"/>
        <w:jc w:val="center"/>
        <w:rPr>
          <w:rFonts w:ascii="宋体" w:hAnsi="宋体" w:cs="Courier New"/>
          <w:b/>
          <w:sz w:val="24"/>
        </w:rPr>
      </w:pPr>
    </w:p>
    <w:p>
      <w:pPr>
        <w:widowControl/>
        <w:spacing w:line="276" w:lineRule="auto"/>
        <w:ind w:firstLine="480"/>
        <w:jc w:val="center"/>
        <w:rPr>
          <w:rFonts w:ascii="宋体" w:hAnsi="宋体" w:cs="Courier New"/>
          <w:b/>
          <w:sz w:val="24"/>
        </w:rPr>
      </w:pPr>
    </w:p>
    <w:p>
      <w:pPr>
        <w:widowControl/>
        <w:spacing w:line="276" w:lineRule="auto"/>
        <w:ind w:firstLine="640"/>
        <w:jc w:val="center"/>
        <w:rPr>
          <w:rFonts w:ascii="宋体" w:hAnsi="宋体" w:cs="Courier New"/>
          <w:b/>
          <w:sz w:val="24"/>
        </w:rPr>
      </w:pPr>
      <w:r>
        <w:rPr>
          <w:rFonts w:ascii="宋体" w:hAnsi="宋体"/>
        </w:rPr>
        <w:drawing>
          <wp:anchor distT="0" distB="0" distL="114300" distR="114300" simplePos="0" relativeHeight="251661312" behindDoc="1" locked="0" layoutInCell="1" allowOverlap="1">
            <wp:simplePos x="0" y="0"/>
            <wp:positionH relativeFrom="column">
              <wp:posOffset>1229995</wp:posOffset>
            </wp:positionH>
            <wp:positionV relativeFrom="paragraph">
              <wp:posOffset>-127000</wp:posOffset>
            </wp:positionV>
            <wp:extent cx="3423920" cy="2071370"/>
            <wp:effectExtent l="0" t="0" r="5080" b="5080"/>
            <wp:wrapTight wrapText="bothSides">
              <wp:wrapPolygon>
                <wp:start x="0" y="0"/>
                <wp:lineTo x="0" y="21454"/>
                <wp:lineTo x="21512" y="21454"/>
                <wp:lineTo x="21512" y="0"/>
                <wp:lineTo x="0" y="0"/>
              </wp:wrapPolygon>
            </wp:wrapTight>
            <wp:docPr id="7"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捕获2"/>
                    <pic:cNvPicPr>
                      <a:picLocks noChangeAspect="1"/>
                    </pic:cNvPicPr>
                  </pic:nvPicPr>
                  <pic:blipFill>
                    <a:blip r:embed="rId19"/>
                    <a:stretch>
                      <a:fillRect/>
                    </a:stretch>
                  </pic:blipFill>
                  <pic:spPr>
                    <a:xfrm>
                      <a:off x="0" y="0"/>
                      <a:ext cx="3423920" cy="2071370"/>
                    </a:xfrm>
                    <a:prstGeom prst="rect">
                      <a:avLst/>
                    </a:prstGeom>
                    <a:noFill/>
                    <a:ln>
                      <a:noFill/>
                    </a:ln>
                  </pic:spPr>
                </pic:pic>
              </a:graphicData>
            </a:graphic>
          </wp:anchor>
        </w:drawing>
      </w:r>
    </w:p>
    <w:p>
      <w:pPr>
        <w:widowControl/>
        <w:spacing w:line="276" w:lineRule="auto"/>
        <w:ind w:firstLine="480"/>
        <w:jc w:val="center"/>
        <w:rPr>
          <w:rFonts w:ascii="宋体" w:hAnsi="宋体" w:cs="Courier New"/>
          <w:b/>
          <w:sz w:val="24"/>
        </w:rPr>
      </w:pPr>
    </w:p>
    <w:p>
      <w:pPr>
        <w:widowControl/>
        <w:spacing w:line="276" w:lineRule="auto"/>
        <w:ind w:firstLine="480"/>
        <w:jc w:val="center"/>
        <w:rPr>
          <w:rFonts w:ascii="宋体" w:hAnsi="宋体" w:cs="Courier New"/>
          <w:b/>
          <w:sz w:val="24"/>
        </w:rPr>
      </w:pPr>
    </w:p>
    <w:p>
      <w:pPr>
        <w:widowControl/>
        <w:spacing w:line="276" w:lineRule="auto"/>
        <w:ind w:firstLine="480"/>
        <w:jc w:val="center"/>
        <w:rPr>
          <w:rFonts w:ascii="宋体" w:hAnsi="宋体" w:cs="Courier New"/>
          <w:b/>
          <w:sz w:val="24"/>
        </w:rPr>
      </w:pPr>
    </w:p>
    <w:p>
      <w:pPr>
        <w:widowControl/>
        <w:spacing w:line="276" w:lineRule="auto"/>
        <w:ind w:firstLine="480"/>
        <w:jc w:val="center"/>
        <w:rPr>
          <w:rFonts w:ascii="宋体" w:hAnsi="宋体" w:cs="Courier New"/>
          <w:b/>
          <w:sz w:val="24"/>
        </w:rPr>
      </w:pPr>
    </w:p>
    <w:p>
      <w:pPr>
        <w:widowControl/>
        <w:spacing w:line="276" w:lineRule="auto"/>
        <w:ind w:firstLine="480"/>
        <w:jc w:val="center"/>
        <w:rPr>
          <w:rFonts w:ascii="宋体" w:hAnsi="宋体" w:cs="Courier New"/>
          <w:b/>
          <w:sz w:val="24"/>
        </w:rPr>
      </w:pPr>
    </w:p>
    <w:p>
      <w:pPr>
        <w:widowControl/>
        <w:spacing w:line="276" w:lineRule="auto"/>
        <w:ind w:firstLine="480"/>
        <w:rPr>
          <w:rFonts w:ascii="宋体" w:hAnsi="宋体" w:cs="Courier New"/>
          <w:b/>
          <w:sz w:val="24"/>
        </w:rPr>
      </w:pP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水准观测路线示意图</w:t>
      </w:r>
    </w:p>
    <w:p>
      <w:pPr>
        <w:ind w:firstLine="640"/>
        <w:rPr>
          <w:rFonts w:ascii="Times New Roman" w:hAnsi="Times New Roman" w:cs="Times New Roman"/>
        </w:rPr>
      </w:pPr>
      <w:r>
        <w:rPr>
          <w:rFonts w:hint="eastAsia" w:ascii="Times New Roman" w:hAnsi="Times New Roman" w:cs="Times New Roman"/>
        </w:rPr>
        <w:t>如上图，历次观测时，测量线路包括以下2条：地面深桩水准点与车站沉降工作基点联测、相邻两车站稳定工作基点联测（含隧道与车站的基点与监测点测量）。</w:t>
      </w:r>
    </w:p>
    <w:p>
      <w:pPr>
        <w:ind w:firstLine="640"/>
        <w:rPr>
          <w:rFonts w:ascii="Times New Roman" w:hAnsi="Times New Roman" w:cs="Times New Roman"/>
        </w:rPr>
      </w:pPr>
      <w:r>
        <w:rPr>
          <w:rFonts w:hint="eastAsia" w:ascii="Times New Roman" w:hAnsi="Times New Roman" w:cs="Times New Roman"/>
        </w:rPr>
        <w:t>其中，地面深桩水准点与车站内站台层工作基点的联测，线路通过车站出入口进入车站中板、底板，线路较为复杂，同时高差较大，为提高测量精度，建议采取以下针对性措施：</w:t>
      </w:r>
    </w:p>
    <w:p>
      <w:pPr>
        <w:ind w:firstLine="640"/>
        <w:rPr>
          <w:rFonts w:ascii="Times New Roman" w:hAnsi="Times New Roman" w:cs="Times New Roman"/>
        </w:rPr>
      </w:pPr>
      <w:r>
        <w:rPr>
          <w:rFonts w:hint="eastAsia" w:ascii="Times New Roman" w:hAnsi="Times New Roman" w:cs="Times New Roman"/>
        </w:rPr>
        <w:t>- 测量前规划好水准测量线路，选择与站内工作基点最近的出入口，尽量减少测站数；</w:t>
      </w:r>
    </w:p>
    <w:p>
      <w:pPr>
        <w:ind w:firstLine="640"/>
        <w:rPr>
          <w:rFonts w:ascii="Times New Roman" w:hAnsi="Times New Roman" w:cs="Times New Roman"/>
        </w:rPr>
      </w:pPr>
      <w:r>
        <w:rPr>
          <w:rFonts w:hint="eastAsia" w:ascii="Times New Roman" w:hAnsi="Times New Roman" w:cs="Times New Roman"/>
        </w:rPr>
        <w:t>- 区间隧道较长时应考虑先进行相邻两车站工作基点的联测，后进行各沉降监测点的测量；</w:t>
      </w:r>
    </w:p>
    <w:p>
      <w:pPr>
        <w:ind w:firstLine="640"/>
        <w:rPr>
          <w:rFonts w:ascii="Times New Roman" w:hAnsi="Times New Roman" w:cs="Times New Roman"/>
        </w:rPr>
      </w:pPr>
      <w:r>
        <w:rPr>
          <w:rFonts w:hint="eastAsia" w:ascii="Times New Roman" w:hAnsi="Times New Roman" w:cs="Times New Roman"/>
        </w:rPr>
        <w:t>- 严格控制水准测量各项限差，尤其是前后视距差与视线高度；</w:t>
      </w:r>
    </w:p>
    <w:p>
      <w:pPr>
        <w:ind w:firstLine="640"/>
        <w:rPr>
          <w:rFonts w:ascii="Times New Roman" w:hAnsi="Times New Roman" w:cs="Times New Roman"/>
        </w:rPr>
      </w:pPr>
      <w:r>
        <w:rPr>
          <w:rFonts w:hint="eastAsia" w:ascii="Times New Roman" w:hAnsi="Times New Roman" w:cs="Times New Roman"/>
        </w:rPr>
        <w:t>- 在车站内尽可能采用固定点立尺，减少使用尺垫；</w:t>
      </w:r>
    </w:p>
    <w:p>
      <w:pPr>
        <w:ind w:firstLine="640"/>
        <w:rPr>
          <w:rFonts w:ascii="Times New Roman" w:hAnsi="Times New Roman" w:cs="Times New Roman"/>
        </w:rPr>
      </w:pPr>
      <w:r>
        <w:rPr>
          <w:rFonts w:hint="eastAsia" w:ascii="Times New Roman" w:hAnsi="Times New Roman" w:cs="Times New Roman"/>
        </w:rPr>
        <w:t>- 历次观测采取相同的水准路线、相同的仪器；</w:t>
      </w:r>
    </w:p>
    <w:p>
      <w:pPr>
        <w:ind w:firstLine="640"/>
      </w:pPr>
      <w:r>
        <w:rPr>
          <w:rFonts w:hint="eastAsia" w:ascii="Times New Roman" w:hAnsi="Times New Roman" w:cs="Times New Roman"/>
        </w:rPr>
        <w:t>- 在光线较暗的区域，创造尽可能好的光照条件。</w:t>
      </w:r>
    </w:p>
    <w:p>
      <w:pPr>
        <w:ind w:firstLine="640"/>
        <w:rPr>
          <w:rFonts w:ascii="Times New Roman" w:hAnsi="Times New Roman" w:cs="Times New Roman"/>
          <w:szCs w:val="21"/>
        </w:rPr>
      </w:pPr>
      <w:bookmarkStart w:id="20" w:name="_Toc24093"/>
      <w:r>
        <w:rPr>
          <w:rFonts w:hint="eastAsia" w:ascii="仿宋_GB2312" w:hAnsi="仿宋_GB2312"/>
        </w:rPr>
        <w:t>4.</w:t>
      </w:r>
      <w:bookmarkEnd w:id="20"/>
      <w:r>
        <w:rPr>
          <w:rFonts w:hint="eastAsia" w:ascii="仿宋_GB2312" w:hAnsi="仿宋_GB2312"/>
        </w:rPr>
        <w:t>3.2结构</w:t>
      </w:r>
      <w:r>
        <w:rPr>
          <w:rFonts w:ascii="Times New Roman" w:hAnsi="Times New Roman" w:cs="Times New Roman"/>
        </w:rPr>
        <w:t>变形监测点的布设</w:t>
      </w:r>
      <w:r>
        <w:rPr>
          <w:rFonts w:hint="eastAsia" w:ascii="Times New Roman" w:hAnsi="Times New Roman" w:cs="Times New Roman"/>
        </w:rPr>
        <w:t>要求</w:t>
      </w:r>
    </w:p>
    <w:p>
      <w:pPr>
        <w:ind w:firstLine="640"/>
        <w:rPr>
          <w:rFonts w:ascii="Times New Roman" w:hAnsi="Times New Roman" w:cs="Times New Roman"/>
        </w:rPr>
      </w:pPr>
      <w:r>
        <w:rPr>
          <w:rFonts w:ascii="Times New Roman" w:hAnsi="Times New Roman" w:cs="Times New Roman"/>
        </w:rPr>
        <w:t>对地铁结构进行长期运营监测，以掌握结构的长期沉降规律，并对发生的长期沉降提出相应的控制措施。因此长期沉降监测点的布设应依据线路的勘察资料、设计文件等前期阶段性成果，以及线路周围的总体规划图进行，此外还应收集地铁区间隧道周边房屋调查资料。</w:t>
      </w:r>
    </w:p>
    <w:p>
      <w:pPr>
        <w:ind w:firstLine="640"/>
        <w:rPr>
          <w:rFonts w:ascii="Times New Roman" w:hAnsi="Times New Roman" w:cs="Times New Roman"/>
        </w:rPr>
      </w:pPr>
      <w:r>
        <w:rPr>
          <w:rFonts w:ascii="Times New Roman" w:hAnsi="Times New Roman" w:cs="Times New Roman"/>
        </w:rPr>
        <w:t>沉降监测点布设基本原则：</w:t>
      </w:r>
    </w:p>
    <w:p>
      <w:pPr>
        <w:ind w:firstLine="640"/>
        <w:rPr>
          <w:rFonts w:ascii="Times New Roman" w:hAnsi="Times New Roman" w:cs="Times New Roman"/>
        </w:rPr>
      </w:pPr>
      <w:r>
        <w:rPr>
          <w:rFonts w:hint="eastAsia" w:ascii="仿宋_GB2312" w:hAnsi="仿宋_GB2312"/>
        </w:rPr>
        <w:t>（1）</w:t>
      </w:r>
      <w:r>
        <w:rPr>
          <w:rFonts w:ascii="Times New Roman" w:hAnsi="Times New Roman" w:cs="Times New Roman"/>
        </w:rPr>
        <w:t>监测点布设应根据变形体特点以及岩土条件、埋深和结构特点、支护类型、开挖方式、建筑场地变形区内环境状况和设计要求等因素制定，在变形体和环境条件发生异常时，在监测点间距过大段及有必要增加监测点地段进行增补监测点</w:t>
      </w:r>
      <w:r>
        <w:rPr>
          <w:rFonts w:hint="eastAsia" w:ascii="Times New Roman" w:hAnsi="Times New Roman" w:cs="Times New Roman"/>
        </w:rPr>
        <w:t>。</w:t>
      </w:r>
    </w:p>
    <w:p>
      <w:pPr>
        <w:ind w:firstLine="640"/>
        <w:rPr>
          <w:rFonts w:ascii="Times New Roman" w:hAnsi="Times New Roman" w:cs="Times New Roman"/>
        </w:rPr>
      </w:pPr>
      <w:r>
        <w:rPr>
          <w:rFonts w:hint="eastAsia" w:ascii="仿宋_GB2312" w:hAnsi="仿宋_GB2312"/>
        </w:rPr>
        <w:t>（2）</w:t>
      </w:r>
      <w:r>
        <w:rPr>
          <w:rFonts w:ascii="Times New Roman" w:hAnsi="Times New Roman" w:cs="Times New Roman"/>
        </w:rPr>
        <w:t>观测点应稳固、明显、结构合理，且不影响轨道交通的正常运营，正常维修不影响观测点位置变化。</w:t>
      </w:r>
    </w:p>
    <w:p>
      <w:pPr>
        <w:ind w:firstLine="640"/>
        <w:rPr>
          <w:rFonts w:ascii="仿宋_GB2312" w:hAnsi="仿宋_GB2312"/>
        </w:rPr>
      </w:pPr>
      <w:r>
        <w:rPr>
          <w:rFonts w:hint="eastAsia" w:ascii="仿宋_GB2312" w:hAnsi="仿宋_GB2312"/>
        </w:rPr>
        <w:t>（3）观测点应避开障碍物，且便于观测和长期保存。</w:t>
      </w:r>
    </w:p>
    <w:p>
      <w:pPr>
        <w:ind w:firstLine="640"/>
        <w:rPr>
          <w:rFonts w:ascii="仿宋_GB2312" w:hAnsi="仿宋_GB2312"/>
        </w:rPr>
      </w:pPr>
      <w:r>
        <w:rPr>
          <w:rFonts w:hint="eastAsia" w:ascii="仿宋_GB2312" w:hAnsi="仿宋_GB2312"/>
        </w:rPr>
        <w:t>（4）明挖区间、U型槽结构按地铁车站标准布设监测点，道岔前后的线路应适当加密沉降监测点。</w:t>
      </w:r>
    </w:p>
    <w:p>
      <w:pPr>
        <w:ind w:firstLine="640"/>
        <w:rPr>
          <w:rFonts w:ascii="仿宋_GB2312" w:hAnsi="仿宋_GB2312"/>
        </w:rPr>
      </w:pPr>
      <w:r>
        <w:rPr>
          <w:rFonts w:hint="eastAsia" w:ascii="仿宋_GB2312" w:hAnsi="仿宋_GB2312"/>
        </w:rPr>
        <w:t>（5）联络通道和正线隧道的轴线相交处应布设沉降监测点，以便对比隧道和联络通道的差异沉降。</w:t>
      </w:r>
    </w:p>
    <w:p>
      <w:pPr>
        <w:ind w:firstLine="640"/>
        <w:rPr>
          <w:rFonts w:ascii="仿宋_GB2312" w:hAnsi="仿宋_GB2312"/>
        </w:rPr>
      </w:pPr>
      <w:r>
        <w:rPr>
          <w:rFonts w:hint="eastAsia" w:ascii="仿宋_GB2312" w:hAnsi="仿宋_GB2312"/>
        </w:rPr>
        <w:t>（6）车站内左右线的沉降监测点应设置在同一横断面上，以便判断车站结构横向沉降差异和倾斜程度。</w:t>
      </w:r>
    </w:p>
    <w:p>
      <w:pPr>
        <w:ind w:firstLine="640"/>
        <w:rPr>
          <w:rFonts w:ascii="仿宋_GB2312" w:hAnsi="仿宋_GB2312"/>
        </w:rPr>
      </w:pPr>
      <w:r>
        <w:rPr>
          <w:rFonts w:hint="eastAsia" w:ascii="仿宋_GB2312" w:hAnsi="仿宋_GB2312"/>
        </w:rPr>
        <w:t>（7）明挖结构、盾构区间的各种变形缝的两侧应布设差异沉降测点。</w:t>
      </w:r>
    </w:p>
    <w:p>
      <w:pPr>
        <w:ind w:firstLine="640"/>
        <w:rPr>
          <w:rFonts w:ascii="仿宋_GB2312" w:hAnsi="仿宋_GB2312"/>
        </w:rPr>
      </w:pPr>
      <w:bookmarkStart w:id="21" w:name="_Toc27629"/>
      <w:r>
        <w:rPr>
          <w:rFonts w:hint="eastAsia" w:ascii="仿宋_GB2312" w:hAnsi="仿宋_GB2312"/>
        </w:rPr>
        <w:t>4.</w:t>
      </w:r>
      <w:bookmarkEnd w:id="21"/>
      <w:r>
        <w:rPr>
          <w:rFonts w:hint="eastAsia" w:ascii="仿宋_GB2312" w:hAnsi="仿宋_GB2312"/>
        </w:rPr>
        <w:t>3.3结构监测点的监测标志及埋设方法</w:t>
      </w:r>
    </w:p>
    <w:p>
      <w:pPr>
        <w:ind w:firstLine="640"/>
        <w:rPr>
          <w:rFonts w:ascii="仿宋_GB2312" w:hAnsi="仿宋_GB2312"/>
        </w:rPr>
      </w:pPr>
      <w:r>
        <w:rPr>
          <w:rFonts w:hint="eastAsia" w:ascii="仿宋_GB2312" w:hAnsi="仿宋_GB2312"/>
        </w:rPr>
        <w:t>（1）沉降监测点</w:t>
      </w:r>
    </w:p>
    <w:p>
      <w:pPr>
        <w:ind w:firstLine="640"/>
        <w:rPr>
          <w:rFonts w:ascii="仿宋_GB2312" w:hAnsi="仿宋_GB2312"/>
        </w:rPr>
      </w:pPr>
      <w:r>
        <w:rPr>
          <w:rFonts w:hint="eastAsia" w:ascii="仿宋_GB2312" w:hAnsi="仿宋_GB2312"/>
        </w:rPr>
        <w:t>隧道内道床/管片沉降监测点标志的埋设，采用70-100mm长的不锈钢道钉，打入道床内。标志的一头磨圆，露出约5mm。布设于结构上的沉降监测点，可用电钻先引孔再打入，加入植筋胶予以稳固。沉降监测点的编号采用模板喷涂于隧道壁上，不得随意手写，应便于识别。编号与点位应对应，距道床约1.5m高。</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2271395" cy="1494790"/>
            <wp:effectExtent l="0" t="0" r="14605" b="139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0">
                      <a:extLst>
                        <a:ext uri="{28A0092B-C50C-407E-A947-70E740481C1C}">
                          <a14:useLocalDpi xmlns:a14="http://schemas.microsoft.com/office/drawing/2010/main" val="0"/>
                        </a:ext>
                      </a:extLst>
                    </a:blip>
                    <a:srcRect l="8672" t="16833" r="8093" b="15775"/>
                    <a:stretch>
                      <a:fillRect/>
                    </a:stretch>
                  </pic:blipFill>
                  <pic:spPr>
                    <a:xfrm>
                      <a:off x="0" y="0"/>
                      <a:ext cx="2271395" cy="1494790"/>
                    </a:xfrm>
                    <a:prstGeom prst="rect">
                      <a:avLst/>
                    </a:prstGeom>
                    <a:noFill/>
                    <a:ln>
                      <a:noFill/>
                    </a:ln>
                  </pic:spPr>
                </pic:pic>
              </a:graphicData>
            </a:graphic>
          </wp:inline>
        </w:drawing>
      </w:r>
      <w:r>
        <w:rPr>
          <w:rFonts w:ascii="Times New Roman" w:hAnsi="Times New Roman" w:eastAsia="宋体" w:cs="Times New Roman"/>
          <w:sz w:val="21"/>
          <w:szCs w:val="24"/>
        </w:rPr>
        <w:drawing>
          <wp:inline distT="0" distB="0" distL="0" distR="0">
            <wp:extent cx="1927225" cy="1524000"/>
            <wp:effectExtent l="0" t="0" r="8255" b="0"/>
            <wp:docPr id="52" name="图片 52" descr="DSC0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SC07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27225" cy="152400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沉降监测点埋设实景图（以区间测点为例）</w:t>
      </w:r>
    </w:p>
    <w:p>
      <w:pPr>
        <w:ind w:firstLine="640"/>
        <w:rPr>
          <w:rFonts w:ascii="仿宋_GB2312" w:hAnsi="仿宋_GB2312"/>
        </w:rPr>
      </w:pPr>
      <w:r>
        <w:rPr>
          <w:rFonts w:hint="eastAsia" w:ascii="仿宋_GB2312" w:hAnsi="仿宋_GB2312"/>
        </w:rPr>
        <w:t>（2）收敛监测点</w:t>
      </w:r>
    </w:p>
    <w:p>
      <w:pPr>
        <w:ind w:firstLine="640"/>
        <w:rPr>
          <w:rFonts w:ascii="仿宋_GB2312" w:hAnsi="仿宋_GB2312"/>
        </w:rPr>
      </w:pPr>
      <w:r>
        <w:rPr>
          <w:rFonts w:hint="eastAsia" w:ascii="仿宋_GB2312" w:hAnsi="仿宋_GB2312"/>
        </w:rPr>
        <w:t>隧道水平收敛监测方法采用测距法，水平收敛监测点的标志埋设，在管片中部（不影响地铁营运，便于观测）疏散通道一侧喷漆直角标识，另一侧喷漆十字标识，并用红色油漆等涂料作出明显标识。水平收敛监测点的编号应喷涂隧道左侧壁上，编号与点位应对应，距道床约1.5m高。</w:t>
      </w:r>
    </w:p>
    <w:p>
      <w:pPr>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854835" cy="1724660"/>
            <wp:effectExtent l="0" t="0" r="4445" b="12700"/>
            <wp:docPr id="51" name="图片 51" descr="ABF223C1849DA8DC69D79D8D21292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BF223C1849DA8DC69D79D8D21292EFB"/>
                    <pic:cNvPicPr>
                      <a:picLocks noChangeAspect="1" noChangeArrowheads="1"/>
                    </pic:cNvPicPr>
                  </pic:nvPicPr>
                  <pic:blipFill>
                    <a:blip r:embed="rId22" cstate="print">
                      <a:extLst>
                        <a:ext uri="{28A0092B-C50C-407E-A947-70E740481C1C}">
                          <a14:useLocalDpi xmlns:a14="http://schemas.microsoft.com/office/drawing/2010/main" val="0"/>
                        </a:ext>
                      </a:extLst>
                    </a:blip>
                    <a:srcRect b="33090"/>
                    <a:stretch>
                      <a:fillRect/>
                    </a:stretch>
                  </pic:blipFill>
                  <pic:spPr>
                    <a:xfrm>
                      <a:off x="0" y="0"/>
                      <a:ext cx="1854835" cy="172466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0" distR="0">
            <wp:extent cx="1936750" cy="1707515"/>
            <wp:effectExtent l="0" t="0" r="13970" b="14605"/>
            <wp:docPr id="50" name="图片 50" descr="8517EC189C3EBBF14896181A2DA20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517EC189C3EBBF14896181A2DA209B7"/>
                    <pic:cNvPicPr>
                      <a:picLocks noChangeAspect="1" noChangeArrowheads="1"/>
                    </pic:cNvPicPr>
                  </pic:nvPicPr>
                  <pic:blipFill>
                    <a:blip r:embed="rId23" cstate="print">
                      <a:extLst>
                        <a:ext uri="{28A0092B-C50C-407E-A947-70E740481C1C}">
                          <a14:useLocalDpi xmlns:a14="http://schemas.microsoft.com/office/drawing/2010/main" val="0"/>
                        </a:ext>
                      </a:extLst>
                    </a:blip>
                    <a:srcRect t="20268" b="15971"/>
                    <a:stretch>
                      <a:fillRect/>
                    </a:stretch>
                  </pic:blipFill>
                  <pic:spPr>
                    <a:xfrm>
                      <a:off x="0" y="0"/>
                      <a:ext cx="1936750" cy="1707515"/>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收敛测点布设实景图</w:t>
      </w:r>
    </w:p>
    <w:p>
      <w:pPr>
        <w:ind w:firstLine="640"/>
        <w:rPr>
          <w:rFonts w:ascii="仿宋_GB2312" w:hAnsi="仿宋_GB2312"/>
        </w:rPr>
      </w:pPr>
      <w:r>
        <w:rPr>
          <w:rFonts w:hint="eastAsia" w:ascii="仿宋_GB2312" w:hAnsi="仿宋_GB2312"/>
        </w:rPr>
        <w:t>4.3.4结构沉降监测点布设位置</w:t>
      </w:r>
    </w:p>
    <w:p>
      <w:pPr>
        <w:ind w:firstLine="640"/>
        <w:rPr>
          <w:rFonts w:ascii="仿宋_GB2312" w:hAnsi="仿宋_GB2312"/>
        </w:rPr>
      </w:pPr>
      <w:r>
        <w:rPr>
          <w:rFonts w:hint="eastAsia" w:ascii="仿宋_GB2312" w:hAnsi="仿宋_GB2312"/>
        </w:rPr>
        <w:t>（1）对于铺设一般道床、中等减震地段而言，沉降监测点应按</w:t>
      </w:r>
      <w:r>
        <w:rPr>
          <w:rFonts w:hint="eastAsia" w:ascii="仿宋_GB2312" w:hAnsi="仿宋_GB2312"/>
          <w:bCs/>
        </w:rPr>
        <w:t>12m间距（10环）</w:t>
      </w:r>
      <w:r>
        <w:rPr>
          <w:rFonts w:hint="eastAsia" w:ascii="仿宋_GB2312" w:hAnsi="仿宋_GB2312"/>
        </w:rPr>
        <w:t>布设在整5环倍数管片对应的在道床中间。监测点应避开道床伸缩缝以及隧道结构变形缝，且确保测量钉避开道床上层钢筋。</w:t>
      </w:r>
    </w:p>
    <w:p>
      <w:pPr>
        <w:spacing w:line="240" w:lineRule="auto"/>
        <w:ind w:firstLine="0" w:firstLineChars="0"/>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0" distR="0">
            <wp:extent cx="3356610" cy="2411095"/>
            <wp:effectExtent l="0" t="0" r="1143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56610" cy="2411095"/>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一般道床、中等减震地段盾构隧道沉降监测点布设示意图</w:t>
      </w:r>
    </w:p>
    <w:p>
      <w:pPr>
        <w:ind w:firstLine="640"/>
        <w:rPr>
          <w:rFonts w:ascii="仿宋_GB2312" w:hAnsi="仿宋_GB2312"/>
        </w:rPr>
      </w:pPr>
      <w:r>
        <w:rPr>
          <w:rFonts w:hint="eastAsia" w:ascii="仿宋_GB2312" w:hAnsi="仿宋_GB2312"/>
        </w:rPr>
        <w:t>对于采取特殊减震措施（钢弹簧浮置板）的地段，除了在道床上布设监测点外，应在同一横断面的行车方向右侧盾构隧道结构按12m布设监测点，以便更进一步掌握隧道结构的沉降情况。隧道内设置的监测点应避开疏散平台和隧道内的管线、终端设备。</w:t>
      </w:r>
    </w:p>
    <w:p>
      <w:pPr>
        <w:spacing w:line="360" w:lineRule="auto"/>
        <w:ind w:firstLine="0" w:firstLineChars="0"/>
        <w:jc w:val="center"/>
        <w:rPr>
          <w:rFonts w:ascii="Times New Roman" w:hAnsi="Times New Roman" w:eastAsia="宋体" w:cs="Times New Roman"/>
          <w:bCs/>
          <w:sz w:val="24"/>
          <w:szCs w:val="24"/>
        </w:rPr>
      </w:pPr>
      <w:r>
        <w:rPr>
          <w:rFonts w:ascii="Times New Roman" w:hAnsi="Times New Roman" w:eastAsia="宋体" w:cs="Times New Roman"/>
          <w:sz w:val="24"/>
          <w:szCs w:val="24"/>
        </w:rPr>
        <w:drawing>
          <wp:inline distT="0" distB="0" distL="0" distR="0">
            <wp:extent cx="3291840" cy="244602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91840" cy="2446020"/>
                    </a:xfrm>
                    <a:prstGeom prst="rect">
                      <a:avLst/>
                    </a:prstGeom>
                    <a:noFill/>
                    <a:ln>
                      <a:noFill/>
                    </a:ln>
                  </pic:spPr>
                </pic:pic>
              </a:graphicData>
            </a:graphic>
          </wp:inline>
        </w:drawing>
      </w:r>
    </w:p>
    <w:p>
      <w:pPr>
        <w:spacing w:line="360" w:lineRule="auto"/>
        <w:ind w:firstLine="0" w:firstLineChars="0"/>
        <w:jc w:val="center"/>
        <w:rPr>
          <w:rFonts w:ascii="Times New Roman" w:hAnsi="Times New Roman" w:eastAsia="宋体" w:cs="Times New Roman"/>
          <w:bCs/>
          <w:sz w:val="24"/>
          <w:szCs w:val="24"/>
        </w:rPr>
      </w:pPr>
      <w:r>
        <w:rPr>
          <w:rFonts w:ascii="Times New Roman" w:hAnsi="Times New Roman" w:eastAsia="宋体" w:cs="Times New Roman"/>
          <w:sz w:val="24"/>
          <w:szCs w:val="24"/>
        </w:rPr>
        <w:drawing>
          <wp:inline distT="0" distB="0" distL="0" distR="0">
            <wp:extent cx="4305300" cy="13335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05300" cy="1333500"/>
                    </a:xfrm>
                    <a:prstGeom prst="rect">
                      <a:avLst/>
                    </a:prstGeom>
                    <a:noFill/>
                    <a:ln>
                      <a:noFill/>
                    </a:ln>
                  </pic:spPr>
                </pic:pic>
              </a:graphicData>
            </a:graphic>
          </wp:inline>
        </w:drawing>
      </w:r>
    </w:p>
    <w:p>
      <w:pPr>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sz w:val="21"/>
          <w:szCs w:val="24"/>
        </w:rPr>
        <w:drawing>
          <wp:inline distT="0" distB="0" distL="0" distR="0">
            <wp:extent cx="4175760" cy="10058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75760" cy="100584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高等减震、特殊减震地段盾构隧道沉降监测点布设示意图</w:t>
      </w:r>
    </w:p>
    <w:p>
      <w:pPr>
        <w:ind w:firstLine="640"/>
        <w:rPr>
          <w:rFonts w:ascii="仿宋_GB2312" w:hAnsi="仿宋_GB2312"/>
        </w:rPr>
      </w:pPr>
      <w:r>
        <w:rPr>
          <w:rFonts w:hint="eastAsia" w:ascii="仿宋_GB2312" w:hAnsi="仿宋_GB2312"/>
        </w:rPr>
        <w:t>（3）车站主体结构、明挖U型槽结构沉降监测点布设</w:t>
      </w:r>
    </w:p>
    <w:p>
      <w:pPr>
        <w:ind w:firstLine="640"/>
        <w:rPr>
          <w:rFonts w:ascii="仿宋_GB2312" w:hAnsi="仿宋_GB2312"/>
        </w:rPr>
      </w:pPr>
      <w:r>
        <w:rPr>
          <w:rFonts w:hint="eastAsia" w:ascii="仿宋_GB2312" w:hAnsi="仿宋_GB2312"/>
        </w:rPr>
        <w:t>对于铺设一般道床、中等减震措施的地段而言，以一般标准长度车站为例（160～200m），在地下车站站台层纵向的1/4、1/2和3/4处各布设1个监测横断面，每个断面的左、右线上各布设一个监测点，点位布设在道床轨道中间，详见下图。车站长度大于200m时，按50m间距设沉降监测点。明挖矩形隧道、明挖U型槽结构的测点间距按30m布设。高架车站同地下车站布设。</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4236720" cy="107442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36720" cy="107442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地下车站主体结构、明挖矩形隧道、明挖U型槽结构沉降监测点布置示意图</w:t>
      </w:r>
    </w:p>
    <w:p>
      <w:pPr>
        <w:ind w:firstLine="640"/>
        <w:rPr>
          <w:rFonts w:ascii="仿宋_GB2312" w:hAnsi="仿宋_GB2312"/>
        </w:rPr>
      </w:pPr>
      <w:r>
        <w:rPr>
          <w:rFonts w:hint="eastAsia" w:ascii="仿宋_GB2312" w:hAnsi="仿宋_GB2312"/>
        </w:rPr>
        <w:t>(4)车站结构与区间盾构隧道交接处、明挖结构和隧道变形缝处的差异沉降监测点布设。</w:t>
      </w:r>
    </w:p>
    <w:p>
      <w:pPr>
        <w:ind w:firstLine="640"/>
        <w:rPr>
          <w:rFonts w:ascii="仿宋_GB2312" w:hAnsi="仿宋_GB2312"/>
        </w:rPr>
      </w:pPr>
      <w:r>
        <w:rPr>
          <w:rFonts w:hint="eastAsia" w:ascii="仿宋_GB2312" w:hAnsi="仿宋_GB2312"/>
        </w:rPr>
        <w:t>监测点布设在车站结构与区间盾构隧道交接处两侧道床轨道中间，每侧1个点，距交接缝约1m。左、右线各布设1对，每座车站共布设4对。如果交接处的道床为特殊减震道床，差异沉降监测点应布设在结构上。</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3695700" cy="998220"/>
            <wp:effectExtent l="0" t="0" r="762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95700" cy="99822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车站与隧道交接处结构差异沉降测点布置示意图</w:t>
      </w:r>
    </w:p>
    <w:p>
      <w:pPr>
        <w:ind w:firstLine="640"/>
        <w:rPr>
          <w:rFonts w:ascii="仿宋_GB2312" w:hAnsi="仿宋_GB2312"/>
        </w:rPr>
      </w:pPr>
      <w:r>
        <w:rPr>
          <w:rFonts w:hint="eastAsia" w:ascii="仿宋_GB2312" w:hAnsi="仿宋_GB2312"/>
        </w:rPr>
        <w:t>(5)联络通道沉降监测点布设</w:t>
      </w:r>
    </w:p>
    <w:p>
      <w:pPr>
        <w:ind w:firstLine="640"/>
        <w:rPr>
          <w:rFonts w:ascii="仿宋_GB2312" w:hAnsi="仿宋_GB2312"/>
        </w:rPr>
      </w:pPr>
      <w:r>
        <w:rPr>
          <w:rFonts w:hint="eastAsia" w:ascii="仿宋_GB2312" w:hAnsi="仿宋_GB2312"/>
        </w:rPr>
        <w:t>每个联络通道布设两个沉降监测点，且和联络通道中心相交的隧道中心处应布设一个沉降监测点，便于测量联络通道和隧道的差异沉降值。一般6～13m长的联络通道测点布置如下图所示，当联络通道较长时可按4m间距加密测点。</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3086100" cy="126492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86100" cy="1264920"/>
                    </a:xfrm>
                    <a:prstGeom prst="rect">
                      <a:avLst/>
                    </a:prstGeom>
                    <a:noFill/>
                    <a:ln>
                      <a:noFill/>
                    </a:ln>
                  </pic:spPr>
                </pic:pic>
              </a:graphicData>
            </a:graphic>
          </wp:inline>
        </w:drawing>
      </w:r>
    </w:p>
    <w:p>
      <w:pPr>
        <w:tabs>
          <w:tab w:val="right" w:pos="8306"/>
        </w:tabs>
        <w:ind w:firstLine="0" w:firstLineChars="0"/>
        <w:jc w:val="center"/>
        <w:rPr>
          <w:rFonts w:ascii="宋体" w:hAnsi="宋体"/>
        </w:rPr>
      </w:pPr>
    </w:p>
    <w:p>
      <w:pPr>
        <w:tabs>
          <w:tab w:val="right" w:pos="8306"/>
        </w:tabs>
        <w:snapToGrid w:val="0"/>
        <w:spacing w:line="240" w:lineRule="auto"/>
        <w:ind w:firstLine="0" w:firstLineChars="0"/>
        <w:jc w:val="center"/>
        <w:rPr>
          <w:rFonts w:ascii="宋体" w:hAnsi="宋体"/>
        </w:rPr>
      </w:pPr>
      <w:r>
        <w:rPr>
          <w:rFonts w:ascii="宋体" w:hAnsi="宋体"/>
        </w:rPr>
        <w:drawing>
          <wp:inline distT="0" distB="0" distL="114300" distR="114300">
            <wp:extent cx="3686175" cy="1371600"/>
            <wp:effectExtent l="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31"/>
                    <a:stretch>
                      <a:fillRect/>
                    </a:stretch>
                  </pic:blipFill>
                  <pic:spPr>
                    <a:xfrm>
                      <a:off x="0" y="0"/>
                      <a:ext cx="3686175" cy="1371600"/>
                    </a:xfrm>
                    <a:prstGeom prst="rect">
                      <a:avLst/>
                    </a:prstGeom>
                  </pic:spPr>
                </pic:pic>
              </a:graphicData>
            </a:graphic>
          </wp:inline>
        </w:drawing>
      </w:r>
    </w:p>
    <w:p>
      <w:pPr>
        <w:tabs>
          <w:tab w:val="right" w:pos="8306"/>
        </w:tabs>
        <w:ind w:firstLine="0" w:firstLineChars="0"/>
        <w:jc w:val="center"/>
        <w:rPr>
          <w:rFonts w:ascii="Times New Roman" w:hAnsi="Times New Roman" w:eastAsia="宋体" w:cs="Times New Roman"/>
          <w:sz w:val="24"/>
          <w:szCs w:val="24"/>
        </w:rPr>
      </w:pPr>
      <w:r>
        <w:rPr>
          <w:rFonts w:hint="eastAsia" w:ascii="宋体" w:hAnsi="宋体" w:eastAsia="宋体" w:cs="宋体"/>
          <w:sz w:val="21"/>
          <w:szCs w:val="21"/>
        </w:rPr>
        <w:t>联络通道沉降监测点布置示意图</w:t>
      </w:r>
    </w:p>
    <w:p>
      <w:pPr>
        <w:ind w:firstLine="640"/>
        <w:rPr>
          <w:rFonts w:ascii="仿宋_GB2312" w:hAnsi="仿宋_GB2312"/>
        </w:rPr>
      </w:pPr>
      <w:r>
        <w:rPr>
          <w:rFonts w:hint="eastAsia" w:ascii="仿宋_GB2312" w:hAnsi="仿宋_GB2312"/>
        </w:rPr>
        <w:t>(6)高架桥墩沉降监测点布设</w:t>
      </w:r>
    </w:p>
    <w:p>
      <w:pPr>
        <w:ind w:firstLine="640"/>
        <w:rPr>
          <w:rFonts w:ascii="仿宋_GB2312" w:hAnsi="仿宋_GB2312"/>
        </w:rPr>
      </w:pPr>
      <w:r>
        <w:rPr>
          <w:rFonts w:hint="eastAsia" w:ascii="仿宋_GB2312" w:hAnsi="仿宋_GB2312"/>
        </w:rPr>
        <w:t>高架段应在每个墩柱上布设一个监测点，位置如下图。监测点编号和桥墩的编号一致，当为双墩时按上下行分别在其编号前加左右线“L”或“R”。例如：右线第15号墩用“R15”表示、左线第15号墩用“L15”表示。</w:t>
      </w:r>
    </w:p>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drawing>
          <wp:inline distT="0" distB="0" distL="114300" distR="114300">
            <wp:extent cx="2857500" cy="2228850"/>
            <wp:effectExtent l="0" t="0" r="0" b="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32"/>
                    <a:stretch>
                      <a:fillRect/>
                    </a:stretch>
                  </pic:blipFill>
                  <pic:spPr>
                    <a:xfrm>
                      <a:off x="0" y="0"/>
                      <a:ext cx="2857500" cy="2228850"/>
                    </a:xfrm>
                    <a:prstGeom prst="rect">
                      <a:avLst/>
                    </a:prstGeom>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高架桥墩沉降监测点布设图</w:t>
      </w:r>
    </w:p>
    <w:p>
      <w:pPr>
        <w:ind w:firstLine="640"/>
        <w:rPr>
          <w:rFonts w:ascii="仿宋_GB2312" w:hAnsi="仿宋_GB2312"/>
        </w:rPr>
      </w:pPr>
      <w:r>
        <w:rPr>
          <w:rFonts w:hint="eastAsia" w:ascii="仿宋_GB2312" w:hAnsi="仿宋_GB2312"/>
        </w:rPr>
        <w:t>高架桥墩沉降监测点埋设，采用直径为10mm、长为80mm的不锈钢膨胀螺栓作为标志，埋设在离地面约500mm的桥墩上，埋设时采用电锤在相应位置处打一个略微向下斜的（为了让埋设好的标志端头略微向上，以便立尺）直径为14mm深约50mm的孔，放入标志后，再用混凝土填充。</w:t>
      </w:r>
    </w:p>
    <w:p>
      <w:pPr>
        <w:ind w:firstLine="640"/>
        <w:rPr>
          <w:rFonts w:ascii="仿宋_GB2312" w:hAnsi="仿宋_GB2312"/>
        </w:rPr>
      </w:pPr>
      <w:r>
        <w:rPr>
          <w:rFonts w:hint="eastAsia" w:ascii="仿宋_GB2312" w:hAnsi="仿宋_GB2312"/>
        </w:rPr>
        <w:t>(7)高架桥梁区段的沉降监测点布设</w:t>
      </w:r>
    </w:p>
    <w:p>
      <w:pPr>
        <w:ind w:firstLine="640"/>
        <w:rPr>
          <w:rFonts w:ascii="仿宋_GB2312" w:hAnsi="仿宋_GB2312"/>
        </w:rPr>
      </w:pPr>
      <w:r>
        <w:rPr>
          <w:rFonts w:hint="eastAsia" w:ascii="仿宋_GB2312" w:hAnsi="仿宋_GB2312"/>
        </w:rPr>
        <w:t>高架桥梁区间的桥梁跨度分20m、25m、30m、35m和跨线桥等不同的跨度，高架段简支梁在每跨梁上按上、下行线等距布设3个沉降监测点，两端各一个、跨中布设一个；高架段连续梁在每跨梁上分上、下行线两端各布设一点，跨中布设一个沉降监测点，如单跨长度大于50m，则在1/4、3/4处增设两个点位。监测点上、下行线必须布设在同一横断面上。</w:t>
      </w:r>
    </w:p>
    <w:p>
      <w:pPr>
        <w:tabs>
          <w:tab w:val="right" w:pos="8306"/>
        </w:tabs>
        <w:spacing w:line="360" w:lineRule="auto"/>
        <w:ind w:firstLine="0" w:firstLineChars="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drawing>
          <wp:inline distT="0" distB="0" distL="114300" distR="114300">
            <wp:extent cx="5309870" cy="1918970"/>
            <wp:effectExtent l="0" t="0" r="5080" b="508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33"/>
                    <a:stretch>
                      <a:fillRect/>
                    </a:stretch>
                  </pic:blipFill>
                  <pic:spPr>
                    <a:xfrm>
                      <a:off x="0" y="0"/>
                      <a:ext cx="5309870" cy="1918970"/>
                    </a:xfrm>
                    <a:prstGeom prst="rect">
                      <a:avLst/>
                    </a:prstGeom>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桥梁沉降监测点纵向布置图</w:t>
      </w:r>
    </w:p>
    <w:p>
      <w:pPr>
        <w:tabs>
          <w:tab w:val="right" w:pos="8306"/>
        </w:tabs>
        <w:spacing w:line="360"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3781425" cy="1632585"/>
            <wp:effectExtent l="0" t="0" r="13335"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781425" cy="1632585"/>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桥梁沉降监测点横剖面布置图</w:t>
      </w:r>
    </w:p>
    <w:p>
      <w:pPr>
        <w:ind w:firstLine="640"/>
        <w:rPr>
          <w:rFonts w:ascii="仿宋_GB2312" w:hAnsi="仿宋_GB2312"/>
        </w:rPr>
      </w:pPr>
      <w:r>
        <w:rPr>
          <w:rFonts w:hint="eastAsia" w:ascii="仿宋_GB2312" w:hAnsi="仿宋_GB2312"/>
        </w:rPr>
        <w:t>(8)U型槽结构与高桥梁过渡段、地面段的差异沉降变形监测点布设</w:t>
      </w:r>
    </w:p>
    <w:p>
      <w:pPr>
        <w:ind w:firstLine="640"/>
        <w:rPr>
          <w:rFonts w:ascii="Times New Roman" w:hAnsi="Times New Roman" w:eastAsia="宋体" w:cs="Times New Roman"/>
          <w:sz w:val="24"/>
          <w:szCs w:val="24"/>
        </w:rPr>
      </w:pPr>
      <w:r>
        <w:rPr>
          <w:rFonts w:hint="eastAsia" w:ascii="仿宋_GB2312" w:hAnsi="仿宋_GB2312"/>
        </w:rPr>
        <w:t>监测点布设在U型槽结构与高架桥梁过渡段交接处、U型槽结构与地面段交接处的两侧道床中间，每侧1个点，距交接缝约1米。左、右线各布设1对，且应布设在同一横断面上。</w:t>
      </w:r>
    </w:p>
    <w:p>
      <w:pPr>
        <w:tabs>
          <w:tab w:val="right" w:pos="8306"/>
        </w:tabs>
        <w:spacing w:line="360" w:lineRule="auto"/>
        <w:ind w:firstLine="640"/>
        <w:jc w:val="center"/>
        <w:rPr>
          <w:szCs w:val="21"/>
        </w:rPr>
      </w:pPr>
      <w:bookmarkStart w:id="22" w:name="_Toc25880"/>
      <w:r>
        <w:rPr>
          <w:szCs w:val="21"/>
        </w:rPr>
        <w:drawing>
          <wp:inline distT="0" distB="0" distL="0" distR="0">
            <wp:extent cx="1548130" cy="1628775"/>
            <wp:effectExtent l="0" t="0" r="6350" b="190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35" cstate="print"/>
                    <a:srcRect/>
                    <a:stretch>
                      <a:fillRect/>
                    </a:stretch>
                  </pic:blipFill>
                  <pic:spPr>
                    <a:xfrm>
                      <a:off x="0" y="0"/>
                      <a:ext cx="1548130" cy="1628775"/>
                    </a:xfrm>
                    <a:prstGeom prst="rect">
                      <a:avLst/>
                    </a:prstGeom>
                    <a:noFill/>
                    <a:ln w="9525">
                      <a:noFill/>
                      <a:miter lim="800000"/>
                      <a:headEnd/>
                      <a:tailEnd/>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U型槽结构与高架桥梁交接处差异沉降测点布设图</w:t>
      </w:r>
    </w:p>
    <w:p>
      <w:pPr>
        <w:tabs>
          <w:tab w:val="right" w:pos="8306"/>
        </w:tabs>
        <w:spacing w:line="360" w:lineRule="auto"/>
        <w:ind w:firstLine="640"/>
        <w:jc w:val="center"/>
        <w:rPr>
          <w:szCs w:val="21"/>
        </w:rPr>
      </w:pPr>
      <w:r>
        <w:rPr>
          <w:szCs w:val="21"/>
        </w:rPr>
        <w:drawing>
          <wp:inline distT="0" distB="0" distL="0" distR="0">
            <wp:extent cx="1466850" cy="1552575"/>
            <wp:effectExtent l="0" t="0" r="11430" b="1905"/>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36" cstate="print"/>
                    <a:srcRect/>
                    <a:stretch>
                      <a:fillRect/>
                    </a:stretch>
                  </pic:blipFill>
                  <pic:spPr>
                    <a:xfrm>
                      <a:off x="0" y="0"/>
                      <a:ext cx="1466850" cy="1552575"/>
                    </a:xfrm>
                    <a:prstGeom prst="rect">
                      <a:avLst/>
                    </a:prstGeom>
                    <a:noFill/>
                    <a:ln w="9525">
                      <a:noFill/>
                      <a:miter lim="800000"/>
                      <a:headEnd/>
                      <a:tailEnd/>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U型槽结构与地面段交接处差异沉降测点布设图</w:t>
      </w:r>
    </w:p>
    <w:p>
      <w:pPr>
        <w:ind w:firstLine="640"/>
        <w:rPr>
          <w:rFonts w:ascii="仿宋_GB2312" w:hAnsi="仿宋_GB2312"/>
        </w:rPr>
      </w:pPr>
      <w:r>
        <w:rPr>
          <w:rFonts w:hint="eastAsia" w:ascii="仿宋_GB2312" w:hAnsi="仿宋_GB2312"/>
        </w:rPr>
        <w:t>4.</w:t>
      </w:r>
      <w:bookmarkEnd w:id="22"/>
      <w:r>
        <w:rPr>
          <w:rFonts w:hint="eastAsia" w:ascii="仿宋_GB2312" w:hAnsi="仿宋_GB2312"/>
        </w:rPr>
        <w:t>3.5隧道水平收敛变形监测点</w:t>
      </w:r>
    </w:p>
    <w:p>
      <w:pPr>
        <w:ind w:firstLine="640"/>
        <w:rPr>
          <w:rFonts w:ascii="仿宋_GB2312" w:hAnsi="仿宋_GB2312"/>
        </w:rPr>
      </w:pPr>
      <w:r>
        <w:rPr>
          <w:rFonts w:hint="eastAsia" w:ascii="仿宋_GB2312" w:hAnsi="仿宋_GB2312"/>
        </w:rPr>
        <w:t>运营监测的隧道收敛变形测量测点按24m（每20环管片）间距布设。用油漆在管片左右两腰做好测量标识，在疏散通道一侧喷漆直角标识，另一侧喷漆十字标识。利用激光测距仪测出两点间的距离。收敛监测点应和沉降监测点布置在同一横断面上。</w:t>
      </w:r>
    </w:p>
    <w:p>
      <w:pPr>
        <w:adjustRightInd w:val="0"/>
        <w:snapToGrid w:val="0"/>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4015740" cy="3162300"/>
            <wp:effectExtent l="0" t="0" r="762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15740" cy="3162300"/>
                    </a:xfrm>
                    <a:prstGeom prst="rect">
                      <a:avLst/>
                    </a:prstGeom>
                    <a:noFill/>
                    <a:ln>
                      <a:noFill/>
                    </a:ln>
                  </pic:spPr>
                </pic:pic>
              </a:graphicData>
            </a:graphic>
          </wp:inline>
        </w:drawing>
      </w:r>
    </w:p>
    <w:p>
      <w:pPr>
        <w:tabs>
          <w:tab w:val="right" w:pos="8306"/>
        </w:tabs>
        <w:ind w:firstLine="0" w:firstLineChars="0"/>
        <w:jc w:val="center"/>
        <w:rPr>
          <w:rFonts w:ascii="宋体" w:hAnsi="宋体" w:eastAsia="宋体" w:cs="宋体"/>
          <w:sz w:val="21"/>
          <w:szCs w:val="21"/>
        </w:rPr>
      </w:pPr>
      <w:r>
        <w:rPr>
          <w:rFonts w:hint="eastAsia" w:ascii="宋体" w:hAnsi="宋体" w:eastAsia="宋体" w:cs="宋体"/>
          <w:sz w:val="21"/>
          <w:szCs w:val="21"/>
        </w:rPr>
        <w:t>水平收敛变形测点布设图</w:t>
      </w:r>
    </w:p>
    <w:p>
      <w:pPr>
        <w:ind w:firstLine="640"/>
        <w:rPr>
          <w:rFonts w:ascii="仿宋_GB2312" w:hAnsi="仿宋_GB2312"/>
        </w:rPr>
      </w:pPr>
      <w:r>
        <w:rPr>
          <w:rFonts w:hint="eastAsia" w:ascii="仿宋_GB2312" w:hAnsi="仿宋_GB2312"/>
        </w:rPr>
        <w:t>4.3.6变形监测点的命名方式</w:t>
      </w:r>
    </w:p>
    <w:p>
      <w:pPr>
        <w:ind w:firstLine="640"/>
        <w:rPr>
          <w:rFonts w:ascii="仿宋_GB2312" w:hAnsi="仿宋_GB2312"/>
        </w:rPr>
      </w:pPr>
      <w:r>
        <w:rPr>
          <w:rFonts w:hint="eastAsia" w:ascii="仿宋_GB2312" w:hAnsi="仿宋_GB2312"/>
        </w:rPr>
        <w:t>义东线长期沉降监测编号建议把车站和区间区分开，并分别以车站和区间隧道的简写名称进行命名，左右线以字母代号“L（左线）”、“R（右线）”来区分，再加3位数顺序编号。沉降监测点的命名简写为CJ，收敛监测的简写为SL。</w:t>
      </w:r>
    </w:p>
    <w:p>
      <w:pPr>
        <w:ind w:firstLine="640"/>
        <w:rPr>
          <w:rFonts w:ascii="仿宋_GB2312" w:hAnsi="仿宋_GB2312"/>
        </w:rPr>
      </w:pPr>
      <w:r>
        <w:rPr>
          <w:rFonts w:hint="eastAsia" w:ascii="仿宋_GB2312" w:hAnsi="仿宋_GB2312"/>
        </w:rPr>
        <w:t>车站的简写名称取首两个字母组合，如凌云站的右线沉降测点编号“LY-CJ-R001”。区间的简写由两个车站的两个字母共4个字母组成，如凌云站-春晗站区间的左线沉降监测点编号“LYCH-CJ-L003”，江东站-木雕城站区间的右线收敛监测点编号“JDMD-SL-R010”。</w:t>
      </w:r>
    </w:p>
    <w:p>
      <w:pPr>
        <w:ind w:firstLine="640"/>
        <w:rPr>
          <w:rFonts w:ascii="仿宋_GB2312" w:hAnsi="仿宋_GB2312"/>
        </w:rPr>
      </w:pPr>
      <w:r>
        <w:rPr>
          <w:rFonts w:hint="eastAsia" w:ascii="仿宋_GB2312" w:hAnsi="仿宋_GB2312"/>
        </w:rPr>
        <w:t>4.3.7监测频率要求</w:t>
      </w:r>
    </w:p>
    <w:p>
      <w:pPr>
        <w:ind w:firstLine="640"/>
        <w:rPr>
          <w:rFonts w:ascii="仿宋_GB2312" w:hAnsi="仿宋_GB2312"/>
        </w:rPr>
      </w:pPr>
      <w:r>
        <w:rPr>
          <w:rFonts w:hint="eastAsia" w:ascii="仿宋_GB2312" w:hAnsi="仿宋_GB2312"/>
        </w:rPr>
        <w:t>义东线工程结构长期变形监测采用近远期结合的方式进行，在线路结构存在病害或处在软土地基等区段时，应根据实际情况提高监测频率。</w:t>
      </w:r>
    </w:p>
    <w:p>
      <w:pPr>
        <w:ind w:firstLine="640"/>
        <w:rPr>
          <w:rFonts w:ascii="仿宋_GB2312" w:hAnsi="仿宋_GB2312"/>
          <w:b/>
          <w:bCs/>
        </w:rPr>
      </w:pPr>
      <w:r>
        <w:rPr>
          <w:rFonts w:hint="eastAsia" w:ascii="仿宋_GB2312" w:hAnsi="仿宋_GB2312"/>
        </w:rPr>
        <w:t>根据《城市轨道交通工程监测技术规范》（GB50911-2013）中运营阶段结构变形监测的要求，义东线轨道结构长期沉降监测的监测频率见下表。</w:t>
      </w:r>
    </w:p>
    <w:p>
      <w:pPr>
        <w:ind w:firstLine="420"/>
        <w:jc w:val="center"/>
      </w:pPr>
      <w:r>
        <w:rPr>
          <w:rFonts w:hint="eastAsia" w:ascii="宋体" w:hAnsi="宋体" w:eastAsia="宋体" w:cs="宋体"/>
          <w:sz w:val="21"/>
          <w:szCs w:val="21"/>
        </w:rPr>
        <w:t>义东线市域轨道结构长期沉降监测频率</w:t>
      </w:r>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001"/>
        <w:gridCol w:w="2052"/>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74" w:type="dxa"/>
            <w:tcBorders>
              <w:top w:val="single" w:color="auto" w:sz="4" w:space="0"/>
              <w:left w:val="single" w:color="auto" w:sz="4" w:space="0"/>
            </w:tcBorders>
            <w:shd w:val="clear" w:color="auto" w:fill="auto"/>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观测阶段</w:t>
            </w:r>
          </w:p>
        </w:tc>
        <w:tc>
          <w:tcPr>
            <w:tcW w:w="4053" w:type="dxa"/>
            <w:gridSpan w:val="2"/>
            <w:tcBorders>
              <w:top w:val="single" w:color="auto" w:sz="4" w:space="0"/>
              <w:left w:val="single" w:color="auto" w:sz="4" w:space="0"/>
            </w:tcBorders>
            <w:shd w:val="clear" w:color="auto" w:fill="auto"/>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观测频率</w:t>
            </w:r>
          </w:p>
        </w:tc>
        <w:tc>
          <w:tcPr>
            <w:tcW w:w="2034"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74" w:type="dxa"/>
            <w:vMerge w:val="restart"/>
            <w:tcBorders>
              <w:top w:val="single" w:color="auto" w:sz="4" w:space="0"/>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第1年</w:t>
            </w:r>
          </w:p>
        </w:tc>
        <w:tc>
          <w:tcPr>
            <w:tcW w:w="2001" w:type="dxa"/>
            <w:tcBorders>
              <w:top w:val="single" w:color="auto" w:sz="4" w:space="0"/>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eastAsia="en-US"/>
              </w:rPr>
              <w:t>1-</w:t>
            </w:r>
            <w:r>
              <w:rPr>
                <w:rFonts w:hint="eastAsia" w:ascii="宋体" w:hAnsi="宋体" w:eastAsia="宋体" w:cs="宋体"/>
                <w:sz w:val="21"/>
                <w:szCs w:val="21"/>
              </w:rPr>
              <w:t>6个月</w:t>
            </w:r>
          </w:p>
        </w:tc>
        <w:tc>
          <w:tcPr>
            <w:tcW w:w="2052" w:type="dxa"/>
            <w:tcBorders>
              <w:top w:val="single" w:color="auto" w:sz="4" w:space="0"/>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1次/3月</w:t>
            </w:r>
          </w:p>
        </w:tc>
        <w:tc>
          <w:tcPr>
            <w:tcW w:w="2034"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74" w:type="dxa"/>
            <w:vMerge w:val="continue"/>
            <w:tcBorders>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p>
        </w:tc>
        <w:tc>
          <w:tcPr>
            <w:tcW w:w="2001" w:type="dxa"/>
            <w:tcBorders>
              <w:top w:val="single" w:color="auto" w:sz="4" w:space="0"/>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第7</w:t>
            </w:r>
            <w:r>
              <w:rPr>
                <w:rFonts w:hint="eastAsia" w:ascii="宋体" w:hAnsi="宋体" w:eastAsia="宋体" w:cs="宋体"/>
                <w:sz w:val="21"/>
                <w:szCs w:val="21"/>
                <w:lang w:eastAsia="en-US"/>
              </w:rPr>
              <w:t>-</w:t>
            </w:r>
            <w:r>
              <w:rPr>
                <w:rFonts w:hint="eastAsia" w:ascii="宋体" w:hAnsi="宋体" w:eastAsia="宋体" w:cs="宋体"/>
                <w:sz w:val="21"/>
                <w:szCs w:val="21"/>
              </w:rPr>
              <w:t>12个月</w:t>
            </w:r>
          </w:p>
        </w:tc>
        <w:tc>
          <w:tcPr>
            <w:tcW w:w="2052" w:type="dxa"/>
            <w:tcBorders>
              <w:top w:val="single" w:color="auto" w:sz="4" w:space="0"/>
              <w:lef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1次/6月</w:t>
            </w:r>
          </w:p>
        </w:tc>
        <w:tc>
          <w:tcPr>
            <w:tcW w:w="2034" w:type="dxa"/>
            <w:vMerge w:val="continue"/>
            <w:tcBorders>
              <w:left w:val="single" w:color="auto" w:sz="4" w:space="0"/>
              <w:righ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1年后</w:t>
            </w:r>
          </w:p>
        </w:tc>
        <w:tc>
          <w:tcPr>
            <w:tcW w:w="2001" w:type="dxa"/>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第12月以后</w:t>
            </w:r>
          </w:p>
        </w:tc>
        <w:tc>
          <w:tcPr>
            <w:tcW w:w="2052" w:type="dxa"/>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1次/6月</w:t>
            </w:r>
          </w:p>
        </w:tc>
        <w:tc>
          <w:tcPr>
            <w:tcW w:w="20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结构长期变形高程基准网监测</w:t>
            </w:r>
          </w:p>
        </w:tc>
        <w:tc>
          <w:tcPr>
            <w:tcW w:w="4053" w:type="dxa"/>
            <w:gridSpan w:val="2"/>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全线</w:t>
            </w:r>
          </w:p>
        </w:tc>
        <w:tc>
          <w:tcPr>
            <w:tcW w:w="20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第一年每3个月1次</w:t>
            </w:r>
          </w:p>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后续每年2次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监测巡查</w:t>
            </w:r>
          </w:p>
        </w:tc>
        <w:tc>
          <w:tcPr>
            <w:tcW w:w="4053" w:type="dxa"/>
            <w:gridSpan w:val="2"/>
            <w:tcBorders>
              <w:top w:val="single" w:color="auto" w:sz="4" w:space="0"/>
              <w:left w:val="single" w:color="auto" w:sz="4" w:space="0"/>
              <w:bottom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全线</w:t>
            </w:r>
          </w:p>
        </w:tc>
        <w:tc>
          <w:tcPr>
            <w:tcW w:w="20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每3个月1次</w:t>
            </w:r>
          </w:p>
        </w:tc>
      </w:tr>
    </w:tbl>
    <w:p>
      <w:pPr>
        <w:ind w:firstLine="420"/>
        <w:rPr>
          <w:rFonts w:ascii="宋体" w:hAnsi="宋体" w:eastAsia="宋体" w:cs="宋体"/>
          <w:sz w:val="21"/>
          <w:szCs w:val="21"/>
        </w:rPr>
      </w:pPr>
      <w:r>
        <w:rPr>
          <w:rFonts w:hint="eastAsia" w:ascii="宋体" w:hAnsi="宋体" w:eastAsia="宋体" w:cs="宋体"/>
          <w:sz w:val="21"/>
          <w:szCs w:val="21"/>
        </w:rPr>
        <w:t>注：监测单位在中标后应立即对义东线轨道结构长期变形监测取初始值，初始数据的测试次数应按规范要求至少独立观测3次，并取平均值作为初始值，初始值的测取只作为一次监测频率计算。</w:t>
      </w:r>
    </w:p>
    <w:p>
      <w:pPr>
        <w:ind w:firstLine="640"/>
        <w:rPr>
          <w:rFonts w:ascii="仿宋_GB2312" w:hAnsi="仿宋_GB2312"/>
        </w:rPr>
      </w:pPr>
      <w:r>
        <w:rPr>
          <w:rFonts w:hint="eastAsia" w:ascii="仿宋_GB2312" w:hAnsi="仿宋_GB2312"/>
        </w:rPr>
        <w:t>4.3.8变形控制标准</w:t>
      </w:r>
    </w:p>
    <w:p>
      <w:pPr>
        <w:numPr>
          <w:ilvl w:val="0"/>
          <w:numId w:val="3"/>
        </w:numPr>
        <w:ind w:firstLine="640"/>
        <w:rPr>
          <w:rFonts w:ascii="仿宋_GB2312" w:hAnsi="仿宋_GB2312"/>
        </w:rPr>
      </w:pPr>
      <w:r>
        <w:rPr>
          <w:rFonts w:hint="eastAsia" w:ascii="仿宋_GB2312" w:hAnsi="仿宋_GB2312"/>
        </w:rPr>
        <w:t>变形控制值应根据《城市轨道交通工程监测技术规范》（GB50911-2013）及《地铁设计规范》GB 50157等相关规范的要求确定。 长期监测变形控制值参照下表。</w:t>
      </w:r>
    </w:p>
    <w:p>
      <w:pPr>
        <w:ind w:firstLine="0" w:firstLineChars="0"/>
        <w:jc w:val="center"/>
        <w:rPr>
          <w:rFonts w:ascii="宋体" w:hAnsi="宋体" w:eastAsia="宋体" w:cs="宋体"/>
          <w:sz w:val="21"/>
          <w:szCs w:val="21"/>
        </w:rPr>
      </w:pPr>
      <w:r>
        <w:rPr>
          <w:rFonts w:hint="eastAsia" w:ascii="宋体" w:hAnsi="宋体" w:eastAsia="宋体" w:cs="宋体"/>
          <w:sz w:val="21"/>
          <w:szCs w:val="21"/>
        </w:rPr>
        <w:t>监测控制值</w:t>
      </w:r>
    </w:p>
    <w:tbl>
      <w:tblPr>
        <w:tblStyle w:val="15"/>
        <w:tblW w:w="905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4752"/>
        <w:gridCol w:w="1593"/>
        <w:gridCol w:w="15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监测项目</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次控制值</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年控制值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轨道线路沉降监测（地下隧道和高架）</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±20mm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联络通道沉降监测</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±20mm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盾构隧道断面收敛监测</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±10mm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4</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高架桥立柱沉降监测</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±6mm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区间隧道的差异沉降（含联络通道）</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±4mm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6</w:t>
            </w:r>
          </w:p>
        </w:tc>
        <w:tc>
          <w:tcPr>
            <w:tcW w:w="4752"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隧道与车站结构的差异沉降</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±5mm</w:t>
            </w:r>
          </w:p>
        </w:tc>
        <w:tc>
          <w:tcPr>
            <w:tcW w:w="1593"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w:t>
            </w:r>
          </w:p>
        </w:tc>
      </w:tr>
    </w:tbl>
    <w:p>
      <w:pPr>
        <w:ind w:firstLine="640"/>
        <w:rPr>
          <w:rFonts w:ascii="仿宋_GB2312" w:hAnsi="仿宋_GB2312"/>
        </w:rPr>
      </w:pPr>
      <w:r>
        <w:rPr>
          <w:rFonts w:hint="eastAsia" w:ascii="仿宋_GB2312" w:hAnsi="仿宋_GB2312"/>
        </w:rPr>
        <w:t>（2）长期沉降监测变形值达到控制值的70%时为预警状态，变形值达到控制值的80%时为报警状态，连续两次预警视为报警状态。</w:t>
      </w:r>
    </w:p>
    <w:p>
      <w:pPr>
        <w:ind w:firstLine="640"/>
        <w:rPr>
          <w:rFonts w:ascii="仿宋_GB2312" w:hAnsi="仿宋_GB2312"/>
        </w:rPr>
      </w:pPr>
      <w:r>
        <w:rPr>
          <w:rFonts w:hint="eastAsia" w:ascii="仿宋_GB2312" w:hAnsi="仿宋_GB2312"/>
        </w:rPr>
        <w:t>4.3.9监测工作移交要求</w:t>
      </w:r>
    </w:p>
    <w:p>
      <w:pPr>
        <w:ind w:firstLine="640"/>
        <w:rPr>
          <w:rFonts w:ascii="仿宋_GB2312" w:hAnsi="仿宋_GB2312"/>
        </w:rPr>
      </w:pPr>
      <w:r>
        <w:rPr>
          <w:rFonts w:hint="eastAsia" w:ascii="仿宋_GB2312" w:hAnsi="仿宋_GB2312"/>
        </w:rPr>
        <w:t>如下一轮长期运营监测中标单位非现有承包商，现有承包商与中标单位应配合地铁运营管理部门做好相关监测数据、报告等资料的移交手续，保证长期运营监测工作的连续性。若发现监测点、工作基点、高程和平面控制网移交过程中出现破坏、缺失等问题，为了明确职责，现有承包商应及时补埋、测量并出具报告，便于移交工作顺利进行。中标单位应对移交监测数据、监测点、工作基点、高程和平面控制网等移交内容及成果完整性进行审核确认，形成移交记录，完成移交。</w:t>
      </w:r>
    </w:p>
    <w:p>
      <w:pPr>
        <w:ind w:firstLine="640"/>
        <w:rPr>
          <w:rFonts w:ascii="仿宋_GB2312" w:hAnsi="仿宋_GB2312"/>
        </w:rPr>
      </w:pPr>
      <w:r>
        <w:rPr>
          <w:rFonts w:hint="eastAsia" w:ascii="仿宋_GB2312" w:hAnsi="仿宋_GB2312"/>
        </w:rPr>
        <w:t>4.3.10监测点的信息管理及巡视保护</w:t>
      </w:r>
    </w:p>
    <w:p>
      <w:pPr>
        <w:ind w:firstLine="640"/>
        <w:rPr>
          <w:rFonts w:ascii="仿宋_GB2312" w:hAnsi="仿宋_GB2312"/>
        </w:rPr>
      </w:pPr>
      <w:bookmarkStart w:id="23" w:name="_Toc390713922"/>
      <w:r>
        <w:rPr>
          <w:rFonts w:hint="eastAsia" w:ascii="仿宋_GB2312" w:hAnsi="仿宋_GB2312"/>
        </w:rPr>
        <w:t>（1）监测点的信息化管理</w:t>
      </w:r>
      <w:bookmarkEnd w:id="23"/>
    </w:p>
    <w:p>
      <w:pPr>
        <w:ind w:firstLine="640"/>
        <w:rPr>
          <w:rFonts w:ascii="仿宋_GB2312" w:hAnsi="仿宋_GB2312"/>
        </w:rPr>
      </w:pPr>
      <w:r>
        <w:rPr>
          <w:rFonts w:hint="eastAsia" w:ascii="仿宋_GB2312" w:hAnsi="仿宋_GB2312"/>
        </w:rPr>
        <w:t>监测点布设完成后需对测点进行编号，并精确测定测点的具体里程、平面位置和所在环号，并将测点编号及其具体里程、平面位置编入点位数据库，以便对线路长期监控。对后期增补的监测点也进行编号，并对其具体里程、平面位置进行精确测量。</w:t>
      </w:r>
      <w:bookmarkStart w:id="24" w:name="_Toc390713923"/>
    </w:p>
    <w:p>
      <w:pPr>
        <w:ind w:firstLine="640"/>
        <w:rPr>
          <w:rFonts w:ascii="仿宋_GB2312" w:hAnsi="仿宋_GB2312"/>
        </w:rPr>
      </w:pPr>
      <w:r>
        <w:rPr>
          <w:rFonts w:hint="eastAsia" w:ascii="仿宋_GB2312" w:hAnsi="仿宋_GB2312"/>
        </w:rPr>
        <w:t>（2）监测点的保护及修复</w:t>
      </w:r>
      <w:bookmarkEnd w:id="24"/>
    </w:p>
    <w:p>
      <w:pPr>
        <w:ind w:firstLine="640"/>
        <w:rPr>
          <w:rFonts w:ascii="仿宋_GB2312" w:hAnsi="仿宋_GB2312"/>
          <w:szCs w:val="32"/>
        </w:rPr>
      </w:pPr>
      <w:r>
        <w:rPr>
          <w:rFonts w:hint="eastAsia" w:ascii="仿宋_GB2312" w:hAnsi="仿宋_GB2312"/>
        </w:rPr>
        <w:t>做好深桩水准点和监测点保护工作，在采取沉降控制措施过程中或其他情况对监测点有破损的情况应及时对监测点进行修复，并做好前后高程记录。各类沉降监测点破坏后应及时重新布设并取得初始值，新设点的变形量在破坏前累计的基础上继续累加，确保测点监测数据的连续性。在项目结束验收时，需确保各深桩水准点、监测点的完整性，确保测点监测数据的连续性。</w:t>
      </w:r>
    </w:p>
    <w:p>
      <w:pPr>
        <w:ind w:firstLine="640"/>
        <w:rPr>
          <w:rFonts w:ascii="仿宋_GB2312" w:hAnsi="仿宋_GB2312"/>
        </w:rPr>
      </w:pPr>
      <w:r>
        <w:rPr>
          <w:rFonts w:hint="eastAsia" w:ascii="仿宋_GB2312" w:hAnsi="仿宋_GB2312"/>
        </w:rPr>
        <w:t>4.3.11技术资料交付要求</w:t>
      </w:r>
    </w:p>
    <w:p>
      <w:pPr>
        <w:ind w:firstLine="640"/>
        <w:rPr>
          <w:rFonts w:ascii="仿宋_GB2312" w:hAnsi="仿宋_GB2312"/>
        </w:rPr>
      </w:pPr>
      <w:r>
        <w:rPr>
          <w:rFonts w:hint="eastAsia" w:ascii="仿宋_GB2312" w:hAnsi="仿宋_GB2312"/>
        </w:rPr>
        <w:t>（1）技术报告及成果表</w:t>
      </w:r>
    </w:p>
    <w:p>
      <w:pPr>
        <w:ind w:firstLine="640"/>
        <w:rPr>
          <w:rFonts w:ascii="仿宋_GB2312" w:hAnsi="仿宋_GB2312"/>
        </w:rPr>
      </w:pPr>
      <w:r>
        <w:rPr>
          <w:rFonts w:hint="eastAsia" w:ascii="仿宋_GB2312" w:hAnsi="仿宋_GB2312"/>
        </w:rPr>
        <w:t>技术报告应如实反映施测工作的实际情况，特别应着重说明施测过程中施测纲要的调整和变化情况；对水准测量的精度进行综合评定，并计算最弱点高程中误差；按区间和车站分别计算统计出平均沉降量、平均沉降速率。成果表应包括里程、初值高程、本次沉降量、累计沉降量等；对出入口、联络通道、出入段线、浮置板道床等特殊区段要标明位置。技术报告及成果表按照一式四份提交书面及电子报告。高程基准系统（一等水准）复测及车站工作基点与深桩点联测均需提交复测报告。</w:t>
      </w:r>
    </w:p>
    <w:p>
      <w:pPr>
        <w:ind w:firstLine="640"/>
        <w:rPr>
          <w:rFonts w:ascii="仿宋_GB2312" w:hAnsi="仿宋_GB2312"/>
        </w:rPr>
      </w:pPr>
      <w:r>
        <w:rPr>
          <w:rFonts w:hint="eastAsia" w:ascii="仿宋_GB2312" w:hAnsi="仿宋_GB2312"/>
        </w:rPr>
        <w:t>（2）数据初步分析</w:t>
      </w:r>
    </w:p>
    <w:p>
      <w:pPr>
        <w:ind w:firstLine="640"/>
        <w:rPr>
          <w:rFonts w:ascii="仿宋_GB2312" w:hAnsi="仿宋_GB2312"/>
        </w:rPr>
      </w:pPr>
      <w:r>
        <w:rPr>
          <w:rFonts w:hint="eastAsia" w:ascii="仿宋_GB2312" w:hAnsi="仿宋_GB2312"/>
        </w:rPr>
        <w:t>以电子版形式提交，内容应包括线路上下行线、出入段监测报表、本次沉降曲线图、累计沉降曲线图、本次沉降统计直方图、曲率半径统计表、沉降速率图、历次累计沉降表、特殊区段沉降图表等；另需绘制带有曲率半径、差异沉降坡度、历时累计沉降曲线的电子图。</w:t>
      </w:r>
    </w:p>
    <w:p>
      <w:pPr>
        <w:ind w:firstLine="640"/>
        <w:rPr>
          <w:rFonts w:ascii="仿宋_GB2312" w:hAnsi="仿宋_GB2312"/>
        </w:rPr>
      </w:pPr>
      <w:r>
        <w:rPr>
          <w:rFonts w:hint="eastAsia" w:ascii="仿宋_GB2312" w:hAnsi="仿宋_GB2312"/>
        </w:rPr>
        <w:t>（3）按需提供外业测量记录及内业计算手簿</w:t>
      </w:r>
    </w:p>
    <w:p>
      <w:pPr>
        <w:ind w:firstLine="640"/>
        <w:rPr>
          <w:rFonts w:ascii="仿宋_GB2312" w:hAnsi="仿宋_GB2312"/>
        </w:rPr>
      </w:pPr>
      <w:r>
        <w:rPr>
          <w:rFonts w:hint="eastAsia" w:ascii="仿宋_GB2312" w:hAnsi="仿宋_GB2312"/>
        </w:rPr>
        <w:t>要求各项记录和相应工程情况记录全面完整，手簿不准涂改，无论人工记录或电子记录均必须保证随时提交检查。</w:t>
      </w:r>
    </w:p>
    <w:p>
      <w:pPr>
        <w:ind w:firstLine="640"/>
        <w:rPr>
          <w:rFonts w:ascii="仿宋_GB2312" w:hAnsi="仿宋_GB2312"/>
        </w:rPr>
      </w:pPr>
      <w:r>
        <w:rPr>
          <w:rFonts w:hint="eastAsia" w:ascii="仿宋_GB2312" w:hAnsi="仿宋_GB2312"/>
        </w:rPr>
        <w:t>（4）监测巡查</w:t>
      </w:r>
    </w:p>
    <w:p>
      <w:pPr>
        <w:ind w:firstLine="640"/>
        <w:rPr>
          <w:rFonts w:ascii="仿宋_GB2312" w:hAnsi="仿宋_GB2312"/>
        </w:rPr>
      </w:pPr>
      <w:r>
        <w:rPr>
          <w:rFonts w:hint="eastAsia" w:ascii="仿宋_GB2312" w:hAnsi="仿宋_GB2312"/>
        </w:rPr>
        <w:t>对保护区标识牌维护（含巡查及维修）和地面工程活动引起的轨道结构变形应及时监测并报告，每三个月递交一次监测巡查报告(巡查区域仅为地铁保护区内，不包括车站及附属、隧道内结构设施等)。巡查报告内容包括但不限于：线路保护区内沿线施工作业、下穿河流、土堆、桥梁、下穿房屋、下穿或上穿新线等与隧道或车站位置关系并分析相应隧道或车站的变形情况，保护区标识牌完好性情况，相关基础资料可以与运营管理部门沟通获取；监测巡查及报告提交须在一个月内完成。</w:t>
      </w:r>
    </w:p>
    <w:p>
      <w:pPr>
        <w:ind w:firstLine="640"/>
        <w:rPr>
          <w:rFonts w:ascii="仿宋_GB2312" w:hAnsi="仿宋_GB2312"/>
        </w:rPr>
      </w:pPr>
      <w:r>
        <w:rPr>
          <w:rFonts w:hint="eastAsia" w:ascii="仿宋_GB2312" w:hAnsi="仿宋_GB2312"/>
        </w:rPr>
        <w:t>（5）其他</w:t>
      </w:r>
    </w:p>
    <w:p>
      <w:pPr>
        <w:ind w:firstLine="640"/>
        <w:rPr>
          <w:rFonts w:ascii="仿宋_GB2312" w:hAnsi="仿宋_GB2312"/>
        </w:rPr>
      </w:pPr>
      <w:r>
        <w:rPr>
          <w:rFonts w:hint="eastAsia" w:ascii="仿宋_GB2312" w:hAnsi="仿宋_GB2312"/>
        </w:rPr>
        <w:t>监测单位应做好监测资料的保密工作，在未征得金华市轨道交通集团运营管理部门的同意下不得向其他任何单位和个人提供相关监测资料。监测单位应于每期结构长期变形监测和基准网复测前提交测量计划，金华市轨道交通集团运营管理部门根据监测单位提交的作业计划进行监管协调配合，原则上每期长期运营监测必须在一个月内提交成果报告。监测单位应在外业测量工作完成后及时核查数据，对于单次变化较大区域应在外业测量工作完成后的3个工作日内提交电子版本成果。</w:t>
      </w:r>
    </w:p>
    <w:p>
      <w:pPr>
        <w:ind w:firstLine="640"/>
        <w:outlineLvl w:val="1"/>
        <w:rPr>
          <w:rFonts w:ascii="仿宋_GB2312" w:hAnsi="仿宋_GB2312"/>
        </w:rPr>
      </w:pPr>
      <w:bookmarkStart w:id="25" w:name="_Toc21671"/>
      <w:r>
        <w:rPr>
          <w:rFonts w:hint="eastAsia" w:ascii="仿宋_GB2312" w:hAnsi="仿宋_GB2312"/>
        </w:rPr>
        <w:t>4.4全断面扫描检测模式</w:t>
      </w:r>
      <w:bookmarkEnd w:id="25"/>
    </w:p>
    <w:p>
      <w:pPr>
        <w:pStyle w:val="6"/>
        <w:ind w:firstLine="640"/>
        <w:rPr>
          <w:rFonts w:ascii="仿宋_GB2312" w:hAnsi="仿宋_GB2312"/>
        </w:rPr>
      </w:pPr>
      <w:r>
        <w:rPr>
          <w:rFonts w:hint="eastAsia" w:ascii="仿宋_GB2312" w:hAnsi="仿宋_GB2312"/>
        </w:rPr>
        <w:t>义东线开通试运营前，通过三维激光扫描获取高分辨率的空间点位坐标、纹理色彩及回波反射强度等信息，经过一系列数据处理后获取隧道的收敛变形、裂缝、错台情况调查、表观病害标注、高清正射影像图等成果。项目取费采取固定总价的形式，监测仪器及设备、监测布点设备及标识等均由投标方供应。</w:t>
      </w:r>
    </w:p>
    <w:p>
      <w:pPr>
        <w:ind w:firstLine="640"/>
        <w:outlineLvl w:val="1"/>
        <w:rPr>
          <w:rFonts w:ascii="仿宋_GB2312" w:hAnsi="仿宋_GB2312"/>
          <w:szCs w:val="20"/>
        </w:rPr>
      </w:pPr>
      <w:bookmarkStart w:id="26" w:name="_Toc26155"/>
      <w:r>
        <w:rPr>
          <w:rFonts w:hint="eastAsia" w:ascii="仿宋_GB2312" w:hAnsi="仿宋_GB2312"/>
          <w:szCs w:val="20"/>
        </w:rPr>
        <w:t>4.5</w:t>
      </w:r>
      <w:r>
        <w:rPr>
          <w:rFonts w:hint="eastAsia" w:ascii="仿宋_GB2312" w:hAnsi="仿宋_GB2312"/>
        </w:rPr>
        <w:t>全断面扫描</w:t>
      </w:r>
      <w:r>
        <w:rPr>
          <w:rFonts w:hint="eastAsia" w:ascii="仿宋_GB2312" w:hAnsi="仿宋_GB2312"/>
          <w:szCs w:val="20"/>
        </w:rPr>
        <w:t>具体检测内容</w:t>
      </w:r>
      <w:bookmarkEnd w:id="26"/>
    </w:p>
    <w:p>
      <w:pPr>
        <w:widowControl/>
        <w:ind w:firstLine="640"/>
        <w:jc w:val="left"/>
        <w:rPr>
          <w:rFonts w:ascii="仿宋_GB2312" w:hAnsi="仿宋_GB2312"/>
        </w:rPr>
      </w:pPr>
      <w:r>
        <w:rPr>
          <w:rFonts w:hint="eastAsia" w:ascii="仿宋_GB2312" w:hAnsi="仿宋_GB2312"/>
          <w:szCs w:val="20"/>
        </w:rPr>
        <w:t>盾构隧道：全断面收敛（椭圆度、最大直径），隧道扫描高清正射图像图，隧道错台、裂缝情况调查，掉块、渗漏水（泥）、滴水等表观病害统计及影像图标注，上述分析成果选取断面应尽量与长期运营监测断面保持一致。</w:t>
      </w:r>
    </w:p>
    <w:p>
      <w:pPr>
        <w:widowControl/>
        <w:ind w:firstLine="640"/>
        <w:jc w:val="left"/>
        <w:rPr>
          <w:rFonts w:ascii="仿宋_GB2312" w:hAnsi="仿宋_GB2312"/>
          <w:szCs w:val="20"/>
        </w:rPr>
      </w:pPr>
      <w:r>
        <w:rPr>
          <w:rFonts w:hint="eastAsia" w:ascii="仿宋_GB2312" w:hAnsi="仿宋_GB2312"/>
          <w:szCs w:val="20"/>
        </w:rPr>
        <w:t>4.5.1全断面收敛（椭圆度、最大直径）：逐环椭圆度统计分析，每隔五环生成断面椭圆度成果图，成果图中至少标注水平直径和最大直径及其点位，同时制成表格统计；对于最大直径大于或小于标准直径5cm以上的管片应加密出具成果图。</w:t>
      </w:r>
    </w:p>
    <w:p>
      <w:pPr>
        <w:widowControl/>
        <w:ind w:firstLine="640"/>
        <w:jc w:val="left"/>
        <w:rPr>
          <w:rFonts w:ascii="仿宋_GB2312" w:hAnsi="仿宋_GB2312"/>
          <w:szCs w:val="20"/>
        </w:rPr>
      </w:pPr>
      <w:r>
        <w:rPr>
          <w:rFonts w:hint="eastAsia" w:ascii="仿宋_GB2312" w:hAnsi="仿宋_GB2312"/>
          <w:szCs w:val="20"/>
        </w:rPr>
        <w:t>4.5.2正射影像：3mm分辨率整体TIFF格式影像，单幅5环的3mm分辨率TIFF影像。</w:t>
      </w:r>
    </w:p>
    <w:p>
      <w:pPr>
        <w:widowControl/>
        <w:ind w:firstLine="640"/>
        <w:jc w:val="left"/>
        <w:rPr>
          <w:rFonts w:ascii="仿宋_GB2312" w:hAnsi="仿宋_GB2312"/>
          <w:szCs w:val="20"/>
        </w:rPr>
      </w:pPr>
      <w:r>
        <w:rPr>
          <w:rFonts w:hint="eastAsia" w:ascii="仿宋_GB2312" w:hAnsi="仿宋_GB2312"/>
          <w:szCs w:val="20"/>
        </w:rPr>
        <w:t>4.5.3隧道裂缝、错台情况调查：</w:t>
      </w:r>
    </w:p>
    <w:p>
      <w:pPr>
        <w:widowControl/>
        <w:ind w:firstLine="640"/>
        <w:jc w:val="left"/>
        <w:rPr>
          <w:rFonts w:ascii="仿宋_GB2312" w:hAnsi="仿宋_GB2312"/>
          <w:szCs w:val="20"/>
        </w:rPr>
      </w:pPr>
      <w:r>
        <w:rPr>
          <w:rFonts w:hint="eastAsia" w:ascii="仿宋_GB2312" w:hAnsi="仿宋_GB2312"/>
          <w:szCs w:val="20"/>
        </w:rPr>
        <w:t>（1）登高逐环调查盾构隧道管片裂缝，统计裂缝数量和位置，并按照裂缝宽度小于0.3mm和大于0.3mm进行分类统计。</w:t>
      </w:r>
    </w:p>
    <w:p>
      <w:pPr>
        <w:pStyle w:val="6"/>
        <w:ind w:firstLine="640"/>
        <w:rPr>
          <w:rFonts w:ascii="仿宋_GB2312" w:hAnsi="仿宋_GB2312"/>
        </w:rPr>
      </w:pPr>
      <w:r>
        <w:rPr>
          <w:rFonts w:hint="eastAsia" w:ascii="仿宋_GB2312" w:hAnsi="仿宋_GB2312"/>
        </w:rPr>
        <w:t>（2）利用相邻两环片的断面图，以轨道中心为基准相互叠加得到两环片相对位置变化情况，从而得到沿轨道方向的错台变化。以错台3mm-20mm，20mm以上为界，筛选得到所有错台大于3mm的环片位置、错台弧长、错台位置、错台量。</w:t>
      </w:r>
    </w:p>
    <w:p>
      <w:pPr>
        <w:widowControl/>
        <w:ind w:firstLine="640"/>
        <w:jc w:val="left"/>
        <w:rPr>
          <w:rFonts w:ascii="仿宋_GB2312" w:hAnsi="仿宋_GB2312"/>
          <w:szCs w:val="20"/>
        </w:rPr>
      </w:pPr>
      <w:r>
        <w:rPr>
          <w:rFonts w:hint="eastAsia" w:ascii="仿宋_GB2312" w:hAnsi="仿宋_GB2312"/>
          <w:szCs w:val="20"/>
        </w:rPr>
        <w:t>4.5.4掉块、渗漏水（泥）、滴水等表观病害统计及影像图标注：制表统计病害，依据分类等级进行标明位置、尺寸、面积及里程，并在影像图中标注。</w:t>
      </w:r>
    </w:p>
    <w:p>
      <w:pPr>
        <w:widowControl/>
        <w:ind w:firstLine="640"/>
        <w:jc w:val="left"/>
        <w:rPr>
          <w:rFonts w:ascii="仿宋_GB2312" w:hAnsi="仿宋_GB2312"/>
          <w:szCs w:val="20"/>
        </w:rPr>
      </w:pPr>
      <w:r>
        <w:rPr>
          <w:rFonts w:hint="eastAsia" w:ascii="仿宋_GB2312" w:hAnsi="仿宋_GB2312"/>
          <w:szCs w:val="20"/>
        </w:rPr>
        <w:t>4.6</w:t>
      </w:r>
      <w:r>
        <w:rPr>
          <w:rFonts w:hint="eastAsia" w:ascii="仿宋_GB2312" w:hAnsi="仿宋_GB2312"/>
        </w:rPr>
        <w:t>全断面扫描</w:t>
      </w:r>
      <w:r>
        <w:rPr>
          <w:rFonts w:hint="eastAsia" w:ascii="仿宋_GB2312" w:hAnsi="仿宋_GB2312"/>
          <w:szCs w:val="20"/>
        </w:rPr>
        <w:t>检测要求</w:t>
      </w:r>
    </w:p>
    <w:p>
      <w:pPr>
        <w:widowControl/>
        <w:ind w:firstLine="640"/>
        <w:jc w:val="left"/>
        <w:rPr>
          <w:rFonts w:ascii="仿宋_GB2312" w:hAnsi="仿宋_GB2312"/>
          <w:szCs w:val="20"/>
        </w:rPr>
      </w:pPr>
      <w:r>
        <w:rPr>
          <w:rFonts w:hint="eastAsia" w:ascii="仿宋_GB2312" w:hAnsi="仿宋_GB2312"/>
          <w:szCs w:val="20"/>
        </w:rPr>
        <w:t>鉴于目前地铁盾构隧道全断面扫描无相关规范和要求，投标方在合同签订后应尽快编制实施方案，并组织专家论证会议，相关文本修改完善后向招标方备案。方案中需明确使用的设备、测量方法、相关技术要求及成果提交样式报告等。</w:t>
      </w:r>
    </w:p>
    <w:p>
      <w:pPr>
        <w:widowControl/>
        <w:ind w:firstLine="640"/>
        <w:jc w:val="left"/>
        <w:rPr>
          <w:rFonts w:ascii="仿宋_GB2312" w:hAnsi="仿宋_GB2312"/>
          <w:szCs w:val="20"/>
        </w:rPr>
      </w:pPr>
      <w:r>
        <w:rPr>
          <w:rFonts w:hint="eastAsia" w:ascii="仿宋_GB2312" w:hAnsi="仿宋_GB2312"/>
          <w:szCs w:val="20"/>
        </w:rPr>
        <w:t>4.6.1.测量方法要求</w:t>
      </w:r>
    </w:p>
    <w:p>
      <w:pPr>
        <w:widowControl/>
        <w:ind w:firstLine="640"/>
        <w:jc w:val="left"/>
        <w:rPr>
          <w:rFonts w:ascii="仿宋_GB2312" w:hAnsi="仿宋_GB2312"/>
          <w:szCs w:val="20"/>
        </w:rPr>
      </w:pPr>
      <w:r>
        <w:rPr>
          <w:rFonts w:hint="eastAsia" w:ascii="仿宋_GB2312" w:hAnsi="仿宋_GB2312"/>
          <w:szCs w:val="20"/>
        </w:rPr>
        <w:t>三维激光扫描主要有静态和移动扫描两种方式，为提高测量效率，本次招标采用移动三维激光扫描测量方式；为保证影像各处分辨率统一均匀，建议采用匀速控制的电力采集车。</w:t>
      </w:r>
    </w:p>
    <w:p>
      <w:pPr>
        <w:widowControl/>
        <w:ind w:firstLine="640"/>
        <w:jc w:val="left"/>
        <w:rPr>
          <w:rFonts w:ascii="仿宋_GB2312" w:hAnsi="仿宋_GB2312"/>
          <w:szCs w:val="20"/>
        </w:rPr>
      </w:pPr>
      <w:r>
        <w:rPr>
          <w:rFonts w:hint="eastAsia" w:ascii="仿宋_GB2312" w:hAnsi="仿宋_GB2312"/>
          <w:szCs w:val="20"/>
        </w:rPr>
        <w:t>4.6.2.检测技术要求</w:t>
      </w:r>
    </w:p>
    <w:p>
      <w:pPr>
        <w:widowControl/>
        <w:ind w:firstLine="640"/>
        <w:jc w:val="left"/>
        <w:rPr>
          <w:rFonts w:ascii="仿宋_GB2312" w:hAnsi="仿宋_GB2312"/>
          <w:szCs w:val="20"/>
        </w:rPr>
      </w:pPr>
      <w:r>
        <w:rPr>
          <w:rFonts w:hint="eastAsia" w:ascii="仿宋_GB2312" w:hAnsi="仿宋_GB2312"/>
          <w:szCs w:val="20"/>
        </w:rPr>
        <w:t>为确保检测成果的可靠性、准确性和适用性，投标方应在检测方案论证修改完善后及时组织相关技术人员进行移动扫描测量系统的测试工作，并出具相应的测试报告上报招标方审核，测试报告审核通过后方可全线开展检测工作。</w:t>
      </w:r>
    </w:p>
    <w:p>
      <w:pPr>
        <w:widowControl/>
        <w:ind w:firstLine="640"/>
        <w:jc w:val="left"/>
        <w:rPr>
          <w:rFonts w:ascii="仿宋_GB2312" w:hAnsi="仿宋_GB2312"/>
          <w:szCs w:val="20"/>
        </w:rPr>
      </w:pPr>
      <w:r>
        <w:rPr>
          <w:rFonts w:hint="eastAsia" w:ascii="仿宋_GB2312" w:hAnsi="仿宋_GB2312"/>
          <w:szCs w:val="20"/>
        </w:rPr>
        <w:t>投标方选取一个区间（单线）完成测试工作，主要包括：隧道椭圆度（最大直径），隧道扫描高清正射图像图，裂缝、错台情况调查，掉块、渗漏水（泥）、滴水等表观病害统计及影像图标注。</w:t>
      </w:r>
    </w:p>
    <w:p>
      <w:pPr>
        <w:widowControl/>
        <w:ind w:firstLine="640"/>
        <w:jc w:val="left"/>
        <w:rPr>
          <w:rFonts w:ascii="仿宋_GB2312" w:hAnsi="仿宋_GB2312"/>
          <w:szCs w:val="20"/>
        </w:rPr>
      </w:pPr>
      <w:r>
        <w:rPr>
          <w:rFonts w:hint="eastAsia" w:ascii="仿宋_GB2312" w:hAnsi="仿宋_GB2312"/>
          <w:szCs w:val="20"/>
        </w:rPr>
        <w:t>（1）隧道椭圆度（最大直径）准确度的测试：</w:t>
      </w:r>
    </w:p>
    <w:p>
      <w:pPr>
        <w:widowControl/>
        <w:ind w:firstLine="640"/>
        <w:jc w:val="left"/>
        <w:rPr>
          <w:rFonts w:ascii="仿宋_GB2312" w:hAnsi="仿宋_GB2312"/>
          <w:szCs w:val="20"/>
        </w:rPr>
      </w:pPr>
      <w:r>
        <w:rPr>
          <w:rFonts w:hint="eastAsia" w:ascii="仿宋_GB2312" w:hAnsi="仿宋_GB2312"/>
          <w:szCs w:val="20"/>
        </w:rPr>
        <w:t>利用全站仪（测角精度优于1〞，测距精度优于2mm且自带断面扫描软件）对盾构隧道进行断面扫描验证移动扫描测量系统的准确性，选取每环管片中部进行测量，验证环数不得少于单个区间总环数的10%，且应均匀分布；</w:t>
      </w:r>
    </w:p>
    <w:p>
      <w:pPr>
        <w:widowControl/>
        <w:ind w:firstLine="640"/>
        <w:jc w:val="left"/>
        <w:rPr>
          <w:rFonts w:ascii="仿宋_GB2312" w:hAnsi="仿宋_GB2312"/>
          <w:szCs w:val="20"/>
        </w:rPr>
      </w:pPr>
      <w:r>
        <w:rPr>
          <w:rFonts w:hint="eastAsia" w:ascii="仿宋_GB2312" w:hAnsi="仿宋_GB2312"/>
          <w:szCs w:val="20"/>
        </w:rPr>
        <w:t>利用全站仪测量隧道椭圆度时每环应独立测量二次，若互差在3mm内，取二次观测值的平均值为最终成果；</w:t>
      </w:r>
    </w:p>
    <w:p>
      <w:pPr>
        <w:widowControl/>
        <w:ind w:firstLine="640"/>
        <w:jc w:val="left"/>
        <w:rPr>
          <w:rFonts w:ascii="仿宋_GB2312" w:hAnsi="仿宋_GB2312"/>
          <w:szCs w:val="20"/>
        </w:rPr>
      </w:pPr>
      <w:r>
        <w:rPr>
          <w:rFonts w:hint="eastAsia" w:ascii="仿宋_GB2312" w:hAnsi="仿宋_GB2312"/>
          <w:szCs w:val="20"/>
        </w:rPr>
        <w:t>测试移动扫描系统的重复精度，对单个区间进行不得少于两次的重复测量；</w:t>
      </w:r>
    </w:p>
    <w:p>
      <w:pPr>
        <w:widowControl/>
        <w:ind w:firstLine="640"/>
        <w:jc w:val="left"/>
        <w:rPr>
          <w:rFonts w:ascii="仿宋_GB2312" w:hAnsi="仿宋_GB2312"/>
          <w:szCs w:val="20"/>
        </w:rPr>
      </w:pPr>
      <w:r>
        <w:rPr>
          <w:rFonts w:hint="eastAsia" w:ascii="仿宋_GB2312" w:hAnsi="仿宋_GB2312"/>
          <w:szCs w:val="20"/>
        </w:rPr>
        <w:t>上述测试完成后投标方应出具相应成果对比及分析报告,考虑目前测量仪器的技术参数，确定全站仪与移动扫描系统测量成果的最大允许测量误差为4mm，且超过3mm的断面数不得超过总数的5%，移动扫描系统的重复测量精度误差为2mm；</w:t>
      </w:r>
    </w:p>
    <w:p>
      <w:pPr>
        <w:widowControl/>
        <w:ind w:firstLine="640"/>
        <w:jc w:val="left"/>
        <w:rPr>
          <w:rFonts w:ascii="仿宋_GB2312" w:hAnsi="仿宋_GB2312"/>
          <w:szCs w:val="20"/>
        </w:rPr>
      </w:pPr>
      <w:r>
        <w:rPr>
          <w:rFonts w:hint="eastAsia" w:ascii="仿宋_GB2312" w:hAnsi="仿宋_GB2312"/>
          <w:szCs w:val="20"/>
        </w:rPr>
        <w:t>(2)隧道扫描高清正射图像图：</w:t>
      </w:r>
    </w:p>
    <w:p>
      <w:pPr>
        <w:widowControl/>
        <w:ind w:firstLine="640"/>
        <w:jc w:val="left"/>
        <w:rPr>
          <w:rFonts w:ascii="仿宋_GB2312" w:hAnsi="仿宋_GB2312"/>
          <w:szCs w:val="20"/>
        </w:rPr>
      </w:pPr>
      <w:r>
        <w:rPr>
          <w:rFonts w:hint="eastAsia" w:ascii="仿宋_GB2312" w:hAnsi="仿宋_GB2312"/>
          <w:szCs w:val="20"/>
        </w:rPr>
        <w:t>提供单幅5环的3mm分辨率TIFF影像，符合OGC国际标准的WMS影像服务；</w:t>
      </w:r>
    </w:p>
    <w:p>
      <w:pPr>
        <w:widowControl/>
        <w:ind w:firstLine="640"/>
        <w:jc w:val="left"/>
        <w:rPr>
          <w:rFonts w:ascii="仿宋_GB2312" w:hAnsi="仿宋_GB2312"/>
          <w:szCs w:val="20"/>
        </w:rPr>
      </w:pPr>
      <w:r>
        <w:rPr>
          <w:rFonts w:hint="eastAsia" w:ascii="仿宋_GB2312" w:hAnsi="仿宋_GB2312"/>
          <w:szCs w:val="20"/>
        </w:rPr>
        <w:t>(3)裂缝、错台情况调查：</w:t>
      </w:r>
    </w:p>
    <w:p>
      <w:pPr>
        <w:widowControl/>
        <w:ind w:firstLine="640"/>
        <w:jc w:val="left"/>
        <w:rPr>
          <w:rFonts w:ascii="仿宋_GB2312" w:hAnsi="仿宋_GB2312"/>
          <w:szCs w:val="20"/>
        </w:rPr>
      </w:pPr>
      <w:r>
        <w:rPr>
          <w:rFonts w:hint="eastAsia" w:ascii="仿宋_GB2312" w:hAnsi="仿宋_GB2312"/>
          <w:szCs w:val="20"/>
        </w:rPr>
        <w:t>登高调查盾构隧道管片裂缝，统计裂缝数量和位置，并按照裂缝宽度小于0.3mm和大于0.3mm进行分类统计。</w:t>
      </w:r>
    </w:p>
    <w:p>
      <w:pPr>
        <w:pStyle w:val="6"/>
        <w:ind w:firstLine="640"/>
      </w:pPr>
      <w:r>
        <w:rPr>
          <w:rFonts w:hint="eastAsia" w:ascii="仿宋_GB2312" w:hAnsi="仿宋_GB2312"/>
        </w:rPr>
        <w:t>调查错台3mm-20mm，20mm以上为界，筛选得到所有错台大于3mm的环片位置、错台弧长、错台位置、错台量。</w:t>
      </w:r>
    </w:p>
    <w:p>
      <w:pPr>
        <w:widowControl/>
        <w:ind w:firstLine="640"/>
        <w:jc w:val="left"/>
        <w:rPr>
          <w:rFonts w:ascii="仿宋_GB2312" w:hAnsi="仿宋_GB2312"/>
          <w:szCs w:val="20"/>
        </w:rPr>
      </w:pPr>
      <w:r>
        <w:rPr>
          <w:rFonts w:hint="eastAsia" w:ascii="仿宋_GB2312" w:hAnsi="仿宋_GB2312"/>
          <w:szCs w:val="20"/>
        </w:rPr>
        <w:t>(4)掉块、渗漏水（泥）、滴水等表观病害统计及影像图标注：</w:t>
      </w:r>
    </w:p>
    <w:p>
      <w:pPr>
        <w:widowControl/>
        <w:ind w:firstLine="640"/>
        <w:jc w:val="left"/>
        <w:rPr>
          <w:rFonts w:ascii="仿宋_GB2312" w:hAnsi="仿宋_GB2312"/>
          <w:szCs w:val="20"/>
          <w:highlight w:val="yellow"/>
        </w:rPr>
      </w:pPr>
      <w:r>
        <w:rPr>
          <w:rFonts w:hint="eastAsia" w:ascii="仿宋_GB2312" w:hAnsi="仿宋_GB2312"/>
          <w:szCs w:val="20"/>
        </w:rPr>
        <w:t>在提供单幅5环的影像图上标注隧道表观病害，招标方收到报告后安排技术人员在现场进行核查、确认，要求每环管片表观病害的数量和位置须与现场完全一致；</w:t>
      </w:r>
    </w:p>
    <w:p>
      <w:pPr>
        <w:widowControl/>
        <w:ind w:firstLine="640"/>
        <w:jc w:val="left"/>
        <w:rPr>
          <w:rFonts w:ascii="仿宋_GB2312" w:hAnsi="仿宋_GB2312"/>
          <w:szCs w:val="20"/>
        </w:rPr>
      </w:pPr>
      <w:r>
        <w:rPr>
          <w:rFonts w:hint="eastAsia" w:ascii="仿宋_GB2312" w:hAnsi="仿宋_GB2312"/>
          <w:szCs w:val="20"/>
        </w:rPr>
        <w:t>4.6.3时间要求</w:t>
      </w:r>
    </w:p>
    <w:p>
      <w:pPr>
        <w:widowControl/>
        <w:ind w:firstLine="640"/>
        <w:jc w:val="left"/>
        <w:rPr>
          <w:rFonts w:ascii="仿宋_GB2312" w:hAnsi="仿宋_GB2312"/>
          <w:szCs w:val="20"/>
        </w:rPr>
      </w:pPr>
      <w:r>
        <w:rPr>
          <w:rFonts w:hint="eastAsia" w:ascii="仿宋_GB2312" w:hAnsi="仿宋_GB2312"/>
          <w:szCs w:val="20"/>
        </w:rPr>
        <w:t>招标方在收到投标方提交的测试报告后及时开展审核、核查工作，审核通过后，投标方应及时开展相关工作，并在约定期限内提交正式纸质及电子报告。</w:t>
      </w:r>
    </w:p>
    <w:p>
      <w:pPr>
        <w:widowControl/>
        <w:ind w:firstLine="640"/>
        <w:jc w:val="left"/>
        <w:rPr>
          <w:rFonts w:ascii="仿宋_GB2312" w:hAnsi="仿宋_GB2312"/>
          <w:szCs w:val="20"/>
        </w:rPr>
      </w:pPr>
      <w:r>
        <w:rPr>
          <w:rFonts w:hint="eastAsia" w:ascii="仿宋_GB2312" w:hAnsi="仿宋_GB2312"/>
          <w:szCs w:val="20"/>
        </w:rPr>
        <w:t>4.6.4技术资料交付要求</w:t>
      </w:r>
    </w:p>
    <w:p>
      <w:pPr>
        <w:widowControl/>
        <w:ind w:firstLine="640"/>
        <w:jc w:val="left"/>
        <w:rPr>
          <w:rFonts w:ascii="仿宋_GB2312" w:hAnsi="仿宋_GB2312"/>
          <w:szCs w:val="20"/>
        </w:rPr>
      </w:pPr>
      <w:r>
        <w:rPr>
          <w:rFonts w:hint="eastAsia" w:ascii="仿宋_GB2312" w:hAnsi="仿宋_GB2312"/>
          <w:szCs w:val="20"/>
        </w:rPr>
        <w:t>（1）投标方应根据招标方的要求在约定期限内提交正式纸质及电子报告；提交的最终成果报告应与测试报告技术要求一致。</w:t>
      </w:r>
    </w:p>
    <w:p>
      <w:pPr>
        <w:widowControl/>
        <w:ind w:firstLine="640"/>
        <w:jc w:val="left"/>
        <w:rPr>
          <w:rFonts w:ascii="仿宋_GB2312" w:hAnsi="仿宋_GB2312"/>
          <w:szCs w:val="20"/>
        </w:rPr>
      </w:pPr>
      <w:r>
        <w:rPr>
          <w:rFonts w:hint="eastAsia" w:ascii="仿宋_GB2312" w:hAnsi="仿宋_GB2312"/>
          <w:szCs w:val="20"/>
        </w:rPr>
        <w:t>（2）为便于人工查阅，生成的隧道扫描高清正射图像中应标注百米桩号、平曲线要素点里程及管片环号；表观病害标注的影像图应与原始图像分开保存。</w:t>
      </w:r>
    </w:p>
    <w:p>
      <w:pPr>
        <w:widowControl/>
        <w:ind w:firstLine="640"/>
        <w:jc w:val="left"/>
        <w:rPr>
          <w:rFonts w:ascii="仿宋_GB2312" w:hAnsi="仿宋_GB2312"/>
          <w:szCs w:val="20"/>
        </w:rPr>
      </w:pPr>
      <w:r>
        <w:rPr>
          <w:rFonts w:hint="eastAsia" w:ascii="仿宋_GB2312" w:hAnsi="仿宋_GB2312"/>
          <w:szCs w:val="20"/>
        </w:rPr>
        <w:t>（3）相关成果报告中涉及里程标注的应同时标注环号。</w:t>
      </w:r>
    </w:p>
    <w:p>
      <w:pPr>
        <w:widowControl/>
        <w:ind w:firstLine="640"/>
        <w:jc w:val="left"/>
        <w:rPr>
          <w:rFonts w:ascii="仿宋_GB2312" w:hAnsi="仿宋_GB2312"/>
          <w:szCs w:val="20"/>
        </w:rPr>
      </w:pPr>
      <w:r>
        <w:rPr>
          <w:rFonts w:hint="eastAsia" w:ascii="仿宋_GB2312" w:hAnsi="仿宋_GB2312"/>
          <w:szCs w:val="20"/>
        </w:rPr>
        <w:t>（4）投标方应明确成熟的处理方法，使生成的隧道扫描高清正射图像具有一定的编辑功能，如影像管理功能（兼容性、可对比性、分层管理及标注、转换、截取等功能），为便于处理、编辑，投标方应提供相应的软件。</w:t>
      </w:r>
    </w:p>
    <w:p>
      <w:pPr>
        <w:widowControl/>
        <w:ind w:firstLine="640"/>
        <w:jc w:val="left"/>
        <w:rPr>
          <w:rFonts w:ascii="仿宋_GB2312" w:hAnsi="仿宋_GB2312"/>
          <w:szCs w:val="20"/>
        </w:rPr>
      </w:pPr>
      <w:r>
        <w:rPr>
          <w:rFonts w:hint="eastAsia" w:ascii="仿宋_GB2312" w:hAnsi="仿宋_GB2312"/>
          <w:szCs w:val="20"/>
        </w:rPr>
        <w:t>（5）投标方对提供的软件应向招标方进行使用培训，并根据招标方合理性要求进行必要的更新、维护。</w:t>
      </w:r>
    </w:p>
    <w:p>
      <w:pPr>
        <w:widowControl/>
        <w:ind w:firstLine="640"/>
        <w:jc w:val="left"/>
        <w:rPr>
          <w:rFonts w:ascii="仿宋_GB2312" w:hAnsi="仿宋_GB2312"/>
          <w:szCs w:val="20"/>
        </w:rPr>
      </w:pPr>
      <w:r>
        <w:rPr>
          <w:rFonts w:hint="eastAsia" w:ascii="仿宋_GB2312" w:hAnsi="仿宋_GB2312"/>
          <w:szCs w:val="20"/>
        </w:rPr>
        <w:t>（6）投标方应合理安排工序，外业扫描工作的同时及时分析、处理、核查数据，对于隧道最大直径大于或小于标准直径5cm以上的应在外业工作完成后的5个工作日内提交成果快报。</w:t>
      </w:r>
    </w:p>
    <w:p>
      <w:pPr>
        <w:widowControl/>
        <w:ind w:firstLine="640"/>
        <w:jc w:val="left"/>
        <w:rPr>
          <w:rFonts w:ascii="仿宋_GB2312" w:hAnsi="仿宋_GB2312"/>
          <w:szCs w:val="20"/>
        </w:rPr>
      </w:pPr>
      <w:r>
        <w:rPr>
          <w:rFonts w:hint="eastAsia" w:ascii="仿宋_GB2312" w:hAnsi="仿宋_GB2312"/>
          <w:szCs w:val="20"/>
        </w:rPr>
        <w:t>（7）为确保后续三维激光扫描工作的延续性和可比性，承包商应充分考虑当今主流的几款移动扫描系统并提供外业扫描成果兼容的源文件，同时提交全部原始数据、成果数据硬盘4份，其中1份归档用，2份日常工作用，1份作为备份。</w:t>
      </w:r>
    </w:p>
    <w:p>
      <w:pPr>
        <w:widowControl/>
        <w:ind w:firstLine="640"/>
        <w:jc w:val="left"/>
        <w:rPr>
          <w:rFonts w:ascii="仿宋_GB2312" w:hAnsi="仿宋_GB2312"/>
          <w:szCs w:val="20"/>
        </w:rPr>
      </w:pPr>
      <w:r>
        <w:rPr>
          <w:rFonts w:hint="eastAsia" w:ascii="仿宋_GB2312" w:hAnsi="仿宋_GB2312"/>
          <w:szCs w:val="20"/>
        </w:rPr>
        <w:t>（8）投标方应做好相关资料的保密工作，在未征得招标方的同意下不得向其他任何单位和个人提供相关资料。</w:t>
      </w:r>
    </w:p>
    <w:p>
      <w:pPr>
        <w:widowControl/>
        <w:ind w:firstLine="640"/>
        <w:jc w:val="left"/>
        <w:rPr>
          <w:rFonts w:ascii="仿宋_GB2312" w:hAnsi="仿宋_GB2312"/>
        </w:rPr>
      </w:pPr>
      <w:r>
        <w:rPr>
          <w:rFonts w:hint="eastAsia" w:ascii="仿宋_GB2312" w:hAnsi="仿宋_GB2312"/>
          <w:szCs w:val="20"/>
        </w:rPr>
        <w:t>（9）根据招标方需要另行加密出具断面椭圆度成果图或其他成果的，投标方应无条件做好配合工作。</w:t>
      </w:r>
    </w:p>
    <w:p>
      <w:pPr>
        <w:pStyle w:val="4"/>
        <w:ind w:firstLine="640"/>
      </w:pPr>
      <w:bookmarkStart w:id="27" w:name="_Toc17355"/>
      <w:bookmarkStart w:id="28" w:name="_Toc2293"/>
      <w:r>
        <w:rPr>
          <w:rFonts w:hint="eastAsia"/>
        </w:rPr>
        <w:t>五、</w:t>
      </w:r>
      <w:bookmarkEnd w:id="27"/>
      <w:r>
        <w:rPr>
          <w:rFonts w:hint="eastAsia"/>
        </w:rPr>
        <w:t>工程量统计</w:t>
      </w:r>
      <w:bookmarkEnd w:id="28"/>
    </w:p>
    <w:p>
      <w:pPr>
        <w:ind w:firstLine="640"/>
      </w:pPr>
      <w:r>
        <w:rPr>
          <w:rFonts w:hint="eastAsia"/>
        </w:rPr>
        <w:t>下表工程量仅作为投标参考，具体以实际情况为准，如有差异相关费用不作变更。</w:t>
      </w:r>
    </w:p>
    <w:p>
      <w:pPr>
        <w:pStyle w:val="6"/>
        <w:ind w:firstLine="0" w:firstLineChars="0"/>
      </w:pPr>
      <w:r>
        <w:rPr>
          <w:rFonts w:hint="eastAsia"/>
        </w:rPr>
        <w:t>1、凌明区间结构监测工程量</w:t>
      </w:r>
    </w:p>
    <w:tbl>
      <w:tblPr>
        <w:tblStyle w:val="15"/>
        <w:tblW w:w="9257" w:type="dxa"/>
        <w:jc w:val="center"/>
        <w:tblLayout w:type="fixed"/>
        <w:tblCellMar>
          <w:top w:w="0" w:type="dxa"/>
          <w:left w:w="108" w:type="dxa"/>
          <w:bottom w:w="0" w:type="dxa"/>
          <w:right w:w="108" w:type="dxa"/>
        </w:tblCellMar>
      </w:tblPr>
      <w:tblGrid>
        <w:gridCol w:w="1535"/>
        <w:gridCol w:w="1335"/>
        <w:gridCol w:w="4129"/>
        <w:gridCol w:w="1188"/>
        <w:gridCol w:w="1070"/>
      </w:tblGrid>
      <w:tr>
        <w:tblPrEx>
          <w:tblCellMar>
            <w:top w:w="0" w:type="dxa"/>
            <w:left w:w="108" w:type="dxa"/>
            <w:bottom w:w="0" w:type="dxa"/>
            <w:right w:w="108" w:type="dxa"/>
          </w:tblCellMar>
        </w:tblPrEx>
        <w:trPr>
          <w:trHeight w:val="446"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项目</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位置</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说明</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工程量</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备注</w:t>
            </w:r>
          </w:p>
        </w:tc>
      </w:tr>
      <w:tr>
        <w:tblPrEx>
          <w:tblCellMar>
            <w:top w:w="0" w:type="dxa"/>
            <w:left w:w="108" w:type="dxa"/>
            <w:bottom w:w="0" w:type="dxa"/>
            <w:right w:w="108" w:type="dxa"/>
          </w:tblCellMar>
        </w:tblPrEx>
        <w:trPr>
          <w:trHeight w:val="446" w:hRule="atLeast"/>
          <w:jc w:val="center"/>
        </w:trPr>
        <w:tc>
          <w:tcPr>
            <w:tcW w:w="1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结构长期变形沉降监测点布设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区间（道床）</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12m1个点，盾构、矿山法区间长19km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1582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45"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联络通道</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1个联络通道4个点，共18个联络通道</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sz w:val="21"/>
                <w:szCs w:val="21"/>
              </w:rPr>
              <w:t>72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753"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车站\明挖隧道</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车站长度小于等于200m，1个地下站6个点；车站长度大于200m，每50m设1个点。共7个地下站。高架车站按梁跨设置沉降点。明挖段测点间距按30m布设，共6.806km。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512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624"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桥墩</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1个桥墩1个点，义东线共803个桥墩</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803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07"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差异沉降</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不同结构交接处上下行各布设1对。</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132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881"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钢弹簧浮置板道床</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隧道管片12m1个点，钢弹簧浮置板道床长0.47km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40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81"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开关站</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开关站2个8个监测点。</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881"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结构长期变形收敛监测点布设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区间</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每24m两个点</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1580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753"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桥梁沉降监测点布设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区间，出入线</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简支梁在每跨梁上按上、下行线等距布设</w:t>
            </w:r>
            <w:r>
              <w:rPr>
                <w:rStyle w:val="44"/>
                <w:rFonts w:hint="eastAsia" w:ascii="宋体" w:hAnsi="宋体" w:eastAsia="宋体" w:cs="宋体"/>
                <w:color w:val="auto"/>
              </w:rPr>
              <w:t>3</w:t>
            </w:r>
            <w:r>
              <w:rPr>
                <w:rFonts w:hint="eastAsia" w:ascii="宋体" w:hAnsi="宋体" w:eastAsia="宋体" w:cs="宋体"/>
                <w:kern w:val="0"/>
                <w:sz w:val="21"/>
                <w:szCs w:val="21"/>
              </w:rPr>
              <w:t>个沉降监测点，两端各一个；高架段连续梁在每跨梁A按简支梁布设，单跨长度超过50米则在1/4、3/4处各增设一个点</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 xml:space="preserve"> 4122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881"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深桩水准点布设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区间、停车场</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4个深桩水准点（两个停车场各1个点，区间2个）</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317"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监测巡查（标志牌维护、日常巡查）</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凌明区间</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凌明区间共40.662km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40.662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881"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结构长期变形高程基准网监测</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凌明区间</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凌明区间共40.662km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40.662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891"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三维激光全断面扫描</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凌明区间</w:t>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盾构区间双线共13.916km,矿山法5.084km</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19.000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bl>
    <w:p>
      <w:pPr>
        <w:pStyle w:val="6"/>
        <w:ind w:firstLine="0" w:firstLineChars="0"/>
        <w:rPr>
          <w:rFonts w:ascii="仿宋_GB2312" w:hAnsi="仿宋_GB2312"/>
        </w:rPr>
      </w:pPr>
      <w:r>
        <w:rPr>
          <w:rFonts w:hint="eastAsia" w:ascii="仿宋_GB2312" w:hAnsi="仿宋_GB2312"/>
        </w:rPr>
        <w:t>2、义凌区间</w:t>
      </w:r>
      <w:r>
        <w:rPr>
          <w:rFonts w:hint="eastAsia"/>
        </w:rPr>
        <w:t>结构监测工程量</w:t>
      </w:r>
    </w:p>
    <w:tbl>
      <w:tblPr>
        <w:tblStyle w:val="15"/>
        <w:tblW w:w="9269" w:type="dxa"/>
        <w:tblInd w:w="0" w:type="dxa"/>
        <w:tblLayout w:type="fixed"/>
        <w:tblCellMar>
          <w:top w:w="0" w:type="dxa"/>
          <w:left w:w="108" w:type="dxa"/>
          <w:bottom w:w="0" w:type="dxa"/>
          <w:right w:w="108" w:type="dxa"/>
        </w:tblCellMar>
      </w:tblPr>
      <w:tblGrid>
        <w:gridCol w:w="1212"/>
        <w:gridCol w:w="1232"/>
        <w:gridCol w:w="4457"/>
        <w:gridCol w:w="868"/>
        <w:gridCol w:w="1500"/>
      </w:tblGrid>
      <w:tr>
        <w:tblPrEx>
          <w:tblCellMar>
            <w:top w:w="0" w:type="dxa"/>
            <w:left w:w="108" w:type="dxa"/>
            <w:bottom w:w="0" w:type="dxa"/>
            <w:right w:w="108" w:type="dxa"/>
          </w:tblCellMar>
        </w:tblPrEx>
        <w:trPr>
          <w:trHeight w:val="90" w:hRule="atLeast"/>
        </w:trPr>
        <w:tc>
          <w:tcPr>
            <w:tcW w:w="121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项目</w:t>
            </w:r>
          </w:p>
        </w:tc>
        <w:tc>
          <w:tcPr>
            <w:tcW w:w="123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位置</w:t>
            </w:r>
          </w:p>
        </w:tc>
        <w:tc>
          <w:tcPr>
            <w:tcW w:w="445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说明</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工程量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备注</w:t>
            </w:r>
          </w:p>
        </w:tc>
      </w:tr>
      <w:tr>
        <w:tblPrEx>
          <w:tblCellMar>
            <w:top w:w="0" w:type="dxa"/>
            <w:left w:w="108" w:type="dxa"/>
            <w:bottom w:w="0" w:type="dxa"/>
            <w:right w:w="108" w:type="dxa"/>
          </w:tblCellMar>
        </w:tblPrEx>
        <w:trPr>
          <w:trHeight w:val="1488" w:hRule="atLeast"/>
        </w:trPr>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p>
            <w:pPr>
              <w:widowControl/>
              <w:spacing w:line="240" w:lineRule="auto"/>
              <w:ind w:firstLine="0" w:firstLineChars="0"/>
              <w:jc w:val="center"/>
              <w:textAlignment w:val="center"/>
              <w:rPr>
                <w:rFonts w:ascii="宋体" w:hAnsi="宋体" w:eastAsia="宋体" w:cs="宋体"/>
                <w:kern w:val="0"/>
                <w:sz w:val="21"/>
                <w:szCs w:val="21"/>
              </w:rPr>
            </w:pPr>
          </w:p>
          <w:p>
            <w:pPr>
              <w:widowControl/>
              <w:spacing w:line="240" w:lineRule="auto"/>
              <w:ind w:firstLine="0" w:firstLineChars="0"/>
              <w:jc w:val="center"/>
              <w:textAlignment w:val="center"/>
              <w:rPr>
                <w:rFonts w:ascii="宋体" w:hAnsi="宋体" w:eastAsia="宋体" w:cs="宋体"/>
                <w:kern w:val="0"/>
                <w:sz w:val="21"/>
                <w:szCs w:val="21"/>
              </w:rPr>
            </w:pPr>
          </w:p>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沉降监测点布设</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车站\明挖隧道</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义乌火车站10个，凌云站6个。出入场线U型槽（含）~义乌火车站~凌云站区间沉降点50个。</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66</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6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桥墩</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1个桥墩1个点，义凌区间共88个桥墩</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sz w:val="21"/>
                <w:szCs w:val="21"/>
              </w:rPr>
              <w:t>88</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02"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差异沉降</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不同结构交接处上下行各布设1对。义乌火车站4个，凌云站8个，义乌火车站~凌云站区间4个，共16个。</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16</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44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区间</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简支梁在每跨梁上按上、下行线等距布设</w:t>
            </w:r>
            <w:r>
              <w:rPr>
                <w:rStyle w:val="44"/>
                <w:rFonts w:hint="eastAsia" w:ascii="宋体" w:hAnsi="宋体" w:eastAsia="宋体" w:cs="宋体"/>
                <w:color w:val="auto"/>
              </w:rPr>
              <w:t>3</w:t>
            </w:r>
            <w:r>
              <w:rPr>
                <w:rFonts w:hint="eastAsia" w:ascii="宋体" w:hAnsi="宋体" w:eastAsia="宋体" w:cs="宋体"/>
                <w:kern w:val="0"/>
                <w:sz w:val="21"/>
                <w:szCs w:val="21"/>
              </w:rPr>
              <w:t>个沉降监测点，两端各一个；高架段连续梁在每跨梁A按简支梁布设，单跨长度超过50米则在1/4、3/4处各增设一个点。义乌火车站~凌云站区间542个。</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542</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440" w:hRule="atLeast"/>
        </w:trPr>
        <w:tc>
          <w:tcPr>
            <w:tcW w:w="12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监测巡查（标志牌维护、日常巡查）</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义凌区间</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义凌区间3.5km</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3.5</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1440" w:hRule="atLeast"/>
        </w:trPr>
        <w:tc>
          <w:tcPr>
            <w:tcW w:w="12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结构长期变形高程基准网监测</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义凌区间</w:t>
            </w:r>
          </w:p>
        </w:tc>
        <w:tc>
          <w:tcPr>
            <w:tcW w:w="4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义凌区间3.5km</w:t>
            </w:r>
          </w:p>
        </w:tc>
        <w:tc>
          <w:tcPr>
            <w:tcW w:w="8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3.5</w:t>
            </w:r>
          </w:p>
        </w:tc>
        <w:tc>
          <w:tcPr>
            <w:tcW w:w="150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bl>
    <w:p>
      <w:pPr>
        <w:pStyle w:val="6"/>
        <w:ind w:firstLine="0" w:firstLineChars="0"/>
        <w:rPr>
          <w:rFonts w:ascii="仿宋_GB2312" w:hAnsi="仿宋_GB2312"/>
        </w:rPr>
      </w:pPr>
      <w:r>
        <w:rPr>
          <w:rFonts w:hint="eastAsia" w:ascii="仿宋_GB2312" w:hAnsi="仿宋_GB2312"/>
        </w:rPr>
        <w:t>3、后宅停车场</w:t>
      </w:r>
      <w:r>
        <w:rPr>
          <w:rFonts w:hint="eastAsia"/>
        </w:rPr>
        <w:t>结构监测工程量</w:t>
      </w:r>
    </w:p>
    <w:tbl>
      <w:tblPr>
        <w:tblStyle w:val="15"/>
        <w:tblW w:w="9296" w:type="dxa"/>
        <w:tblInd w:w="0" w:type="dxa"/>
        <w:tblLayout w:type="fixed"/>
        <w:tblCellMar>
          <w:top w:w="0" w:type="dxa"/>
          <w:left w:w="108" w:type="dxa"/>
          <w:bottom w:w="0" w:type="dxa"/>
          <w:right w:w="108" w:type="dxa"/>
        </w:tblCellMar>
      </w:tblPr>
      <w:tblGrid>
        <w:gridCol w:w="1212"/>
        <w:gridCol w:w="1039"/>
        <w:gridCol w:w="4639"/>
        <w:gridCol w:w="890"/>
        <w:gridCol w:w="1516"/>
      </w:tblGrid>
      <w:tr>
        <w:tblPrEx>
          <w:tblCellMar>
            <w:top w:w="0" w:type="dxa"/>
            <w:left w:w="108" w:type="dxa"/>
            <w:bottom w:w="0" w:type="dxa"/>
            <w:right w:w="108" w:type="dxa"/>
          </w:tblCellMar>
        </w:tblPrEx>
        <w:trPr>
          <w:trHeight w:val="90" w:hRule="atLeast"/>
        </w:trPr>
        <w:tc>
          <w:tcPr>
            <w:tcW w:w="121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项目</w:t>
            </w:r>
          </w:p>
        </w:tc>
        <w:tc>
          <w:tcPr>
            <w:tcW w:w="103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位置</w:t>
            </w:r>
          </w:p>
        </w:tc>
        <w:tc>
          <w:tcPr>
            <w:tcW w:w="463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说明</w:t>
            </w:r>
          </w:p>
        </w:tc>
        <w:tc>
          <w:tcPr>
            <w:tcW w:w="89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工程量</w:t>
            </w:r>
          </w:p>
        </w:tc>
        <w:tc>
          <w:tcPr>
            <w:tcW w:w="151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备注</w:t>
            </w:r>
          </w:p>
        </w:tc>
      </w:tr>
      <w:tr>
        <w:tblPrEx>
          <w:tblCellMar>
            <w:top w:w="0" w:type="dxa"/>
            <w:left w:w="108" w:type="dxa"/>
            <w:bottom w:w="0" w:type="dxa"/>
            <w:right w:w="108" w:type="dxa"/>
          </w:tblCellMar>
        </w:tblPrEx>
        <w:trPr>
          <w:trHeight w:val="533" w:hRule="atLeast"/>
        </w:trPr>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r>
              <w:rPr>
                <w:rFonts w:hint="eastAsia" w:ascii="宋体" w:hAnsi="宋体" w:eastAsia="宋体" w:cs="宋体"/>
                <w:kern w:val="0"/>
                <w:sz w:val="21"/>
                <w:szCs w:val="21"/>
              </w:rPr>
              <w:t>后宅停车场监测点布设</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停车场建筑物</w:t>
            </w:r>
          </w:p>
        </w:tc>
        <w:tc>
          <w:tcPr>
            <w:tcW w:w="4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每个单体建筑布设4个点，检修库、停车库内结构柱监测布设2个点。后宅停车场8个单体建筑32个。</w:t>
            </w:r>
          </w:p>
        </w:tc>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34</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车场线</w:t>
            </w:r>
          </w:p>
        </w:tc>
        <w:tc>
          <w:tcPr>
            <w:tcW w:w="4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整体道床30m1个，其中后宅停车场2.406km，81个。</w:t>
            </w:r>
          </w:p>
        </w:tc>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81</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出入段线</w:t>
            </w:r>
          </w:p>
        </w:tc>
        <w:tc>
          <w:tcPr>
            <w:tcW w:w="4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kern w:val="0"/>
                <w:sz w:val="21"/>
                <w:szCs w:val="21"/>
              </w:rPr>
            </w:pPr>
            <w:r>
              <w:rPr>
                <w:rFonts w:hint="eastAsia" w:ascii="宋体" w:hAnsi="宋体" w:eastAsia="宋体" w:cs="宋体"/>
                <w:kern w:val="0"/>
                <w:sz w:val="21"/>
                <w:szCs w:val="21"/>
              </w:rPr>
              <w:t>30m双线简支梁16跨，35m双线简支梁、40m双线简支梁各一跨，（40+60+40）m 连续梁一座。每个桥墩1个点。</w:t>
            </w:r>
          </w:p>
        </w:tc>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145</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bl>
    <w:p>
      <w:pPr>
        <w:pStyle w:val="6"/>
        <w:ind w:firstLine="0" w:firstLineChars="0"/>
        <w:rPr>
          <w:rFonts w:ascii="仿宋_GB2312" w:hAnsi="仿宋_GB2312"/>
        </w:rPr>
      </w:pPr>
      <w:r>
        <w:rPr>
          <w:rFonts w:hint="eastAsia" w:ascii="仿宋_GB2312" w:hAnsi="仿宋_GB2312"/>
        </w:rPr>
        <w:t>4、槐堂停车场</w:t>
      </w:r>
      <w:r>
        <w:rPr>
          <w:rFonts w:hint="eastAsia"/>
        </w:rPr>
        <w:t>结构监测工程量</w:t>
      </w:r>
    </w:p>
    <w:tbl>
      <w:tblPr>
        <w:tblStyle w:val="15"/>
        <w:tblW w:w="9280" w:type="dxa"/>
        <w:tblInd w:w="0" w:type="dxa"/>
        <w:tblLayout w:type="fixed"/>
        <w:tblCellMar>
          <w:top w:w="0" w:type="dxa"/>
          <w:left w:w="108" w:type="dxa"/>
          <w:bottom w:w="0" w:type="dxa"/>
          <w:right w:w="108" w:type="dxa"/>
        </w:tblCellMar>
      </w:tblPr>
      <w:tblGrid>
        <w:gridCol w:w="1212"/>
        <w:gridCol w:w="1210"/>
        <w:gridCol w:w="4479"/>
        <w:gridCol w:w="879"/>
        <w:gridCol w:w="1500"/>
      </w:tblGrid>
      <w:tr>
        <w:tblPrEx>
          <w:tblCellMar>
            <w:top w:w="0" w:type="dxa"/>
            <w:left w:w="108" w:type="dxa"/>
            <w:bottom w:w="0" w:type="dxa"/>
            <w:right w:w="108" w:type="dxa"/>
          </w:tblCellMar>
        </w:tblPrEx>
        <w:trPr>
          <w:trHeight w:val="90" w:hRule="atLeast"/>
        </w:trPr>
        <w:tc>
          <w:tcPr>
            <w:tcW w:w="121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项目</w:t>
            </w:r>
          </w:p>
        </w:tc>
        <w:tc>
          <w:tcPr>
            <w:tcW w:w="121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位置</w:t>
            </w:r>
          </w:p>
        </w:tc>
        <w:tc>
          <w:tcPr>
            <w:tcW w:w="447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说明</w:t>
            </w:r>
          </w:p>
        </w:tc>
        <w:tc>
          <w:tcPr>
            <w:tcW w:w="87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工程量</w:t>
            </w:r>
          </w:p>
        </w:tc>
        <w:tc>
          <w:tcPr>
            <w:tcW w:w="150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备注</w:t>
            </w:r>
          </w:p>
        </w:tc>
      </w:tr>
      <w:tr>
        <w:tblPrEx>
          <w:tblCellMar>
            <w:top w:w="0" w:type="dxa"/>
            <w:left w:w="108" w:type="dxa"/>
            <w:bottom w:w="0" w:type="dxa"/>
            <w:right w:w="108" w:type="dxa"/>
          </w:tblCellMar>
        </w:tblPrEx>
        <w:trPr>
          <w:trHeight w:val="864" w:hRule="atLeast"/>
        </w:trPr>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r>
              <w:rPr>
                <w:rFonts w:hint="eastAsia" w:ascii="宋体" w:hAnsi="宋体" w:eastAsia="宋体" w:cs="宋体"/>
                <w:kern w:val="0"/>
                <w:sz w:val="21"/>
                <w:szCs w:val="21"/>
              </w:rPr>
              <w:t>槐堂停车场监测点布设</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停车场建筑物</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每个单体建筑布设4个点，检修库、停车库内结构柱监测布设2个点。槐堂停车场9个单体建筑36个。</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38</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车场线</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sz w:val="21"/>
                <w:szCs w:val="21"/>
              </w:rPr>
            </w:pPr>
            <w:r>
              <w:rPr>
                <w:rFonts w:hint="eastAsia" w:ascii="宋体" w:hAnsi="宋体" w:eastAsia="宋体" w:cs="宋体"/>
                <w:kern w:val="0"/>
                <w:sz w:val="21"/>
                <w:szCs w:val="21"/>
              </w:rPr>
              <w:t>整体道床30m1个，槐堂停车场3.612km，120个。</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120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bookmarkStart w:id="29" w:name="_Toc766"/>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出入段线</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宋体" w:hAnsi="宋体" w:eastAsia="宋体" w:cs="宋体"/>
                <w:kern w:val="0"/>
                <w:sz w:val="21"/>
                <w:szCs w:val="21"/>
              </w:rPr>
            </w:pPr>
            <w:r>
              <w:rPr>
                <w:rFonts w:hint="eastAsia" w:ascii="宋体" w:hAnsi="宋体" w:eastAsia="宋体" w:cs="宋体"/>
                <w:kern w:val="0"/>
                <w:sz w:val="21"/>
                <w:szCs w:val="21"/>
              </w:rPr>
              <w:t>25m双线简支梁8跨，30m双线简支梁10跨。每个桥墩1个点。</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127</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结构长期变形收敛监测</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每24m两个点。</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rPr>
              <w:t>140</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576" w:hRule="atLeast"/>
        </w:trPr>
        <w:tc>
          <w:tcPr>
            <w:tcW w:w="12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r>
              <w:rPr>
                <w:rFonts w:hint="eastAsia" w:ascii="宋体" w:hAnsi="宋体" w:eastAsia="宋体" w:cs="宋体"/>
                <w:kern w:val="0"/>
                <w:sz w:val="21"/>
                <w:szCs w:val="21"/>
              </w:rPr>
              <w:t>三维激光全断面扫描</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出入段线盾构区间</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盾构区间双线共1.7km。</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bl>
    <w:p>
      <w:pPr>
        <w:pStyle w:val="4"/>
        <w:ind w:firstLine="640"/>
      </w:pPr>
    </w:p>
    <w:p>
      <w:pPr>
        <w:pStyle w:val="4"/>
        <w:ind w:firstLine="640"/>
      </w:pPr>
      <w:bookmarkStart w:id="30" w:name="_Toc8583"/>
      <w:r>
        <w:rPr>
          <w:rFonts w:hint="eastAsia"/>
        </w:rPr>
        <w:t>六、项目监测资质和资源配备的要求</w:t>
      </w:r>
      <w:bookmarkEnd w:id="29"/>
      <w:bookmarkEnd w:id="30"/>
    </w:p>
    <w:p>
      <w:pPr>
        <w:pStyle w:val="6"/>
        <w:ind w:firstLine="640"/>
        <w:rPr>
          <w:rFonts w:ascii="仿宋_GB2312" w:hAnsi="仿宋_GB2312"/>
        </w:rPr>
      </w:pPr>
      <w:bookmarkStart w:id="31" w:name="_Toc32560"/>
      <w:r>
        <w:rPr>
          <w:rFonts w:hint="eastAsia" w:ascii="仿宋_GB2312" w:hAnsi="仿宋_GB2312"/>
        </w:rPr>
        <w:t>6.1项目对投标方需配备的资源的要求</w:t>
      </w:r>
      <w:bookmarkEnd w:id="31"/>
    </w:p>
    <w:p>
      <w:pPr>
        <w:ind w:firstLine="640"/>
        <w:jc w:val="left"/>
        <w:rPr>
          <w:rFonts w:ascii="仿宋_GB2312" w:hAnsi="仿宋_GB2312"/>
          <w:szCs w:val="20"/>
        </w:rPr>
      </w:pPr>
      <w:r>
        <w:rPr>
          <w:rFonts w:hint="eastAsia" w:ascii="仿宋_GB2312" w:hAnsi="仿宋_GB2312"/>
          <w:szCs w:val="20"/>
        </w:rPr>
        <w:t>6.1.1投标方应在金华市设置结构变形监测服务项目部，以提高人员响应应急处理能力，并保证在突发事件时能及时组织人员到场进行加密监测，或自动化应急监测。办公场所由监测单位自行安排。投标方资质要求详见附录7：项目对投标方需配备的建议资质要求。</w:t>
      </w:r>
    </w:p>
    <w:p>
      <w:pPr>
        <w:pStyle w:val="6"/>
        <w:ind w:firstLine="640"/>
        <w:rPr>
          <w:rFonts w:ascii="仿宋_GB2312" w:hAnsi="仿宋_GB2312"/>
        </w:rPr>
      </w:pPr>
      <w:r>
        <w:rPr>
          <w:rFonts w:hint="eastAsia" w:ascii="仿宋_GB2312" w:hAnsi="仿宋_GB2312"/>
        </w:rPr>
        <w:t>6.1.2投标方应根据监测计划配备足够的监测仪器（见附件6）和技术人员，保证在规定时间内提交结构长期变形监测成果。监测仪器应按照国家规范规定要求进行定期年检，对于高精度测量作业前应对水准仪的i角进行测定，确保监测质量和精度。</w:t>
      </w:r>
    </w:p>
    <w:p>
      <w:pPr>
        <w:pStyle w:val="6"/>
        <w:ind w:firstLine="640"/>
        <w:rPr>
          <w:rFonts w:ascii="仿宋_GB2312" w:hAnsi="仿宋_GB2312"/>
        </w:rPr>
      </w:pPr>
      <w:r>
        <w:rPr>
          <w:rFonts w:hint="eastAsia" w:ascii="仿宋_GB2312" w:hAnsi="仿宋_GB2312"/>
        </w:rPr>
        <w:t>6.1.3投标方须配备台式办公电脑、笔记本电脑、投影仪、打印机及其它办公设备，以满足办公需要。</w:t>
      </w:r>
    </w:p>
    <w:p>
      <w:pPr>
        <w:pStyle w:val="6"/>
        <w:ind w:firstLine="640"/>
        <w:rPr>
          <w:rFonts w:ascii="仿宋_GB2312" w:hAnsi="仿宋_GB2312"/>
        </w:rPr>
      </w:pPr>
      <w:r>
        <w:rPr>
          <w:rFonts w:hint="eastAsia" w:ascii="仿宋_GB2312" w:hAnsi="仿宋_GB2312"/>
        </w:rPr>
        <w:t>6.1.4投标人在设备工具资源、人员配备、通讯工具等方面满足运营日常监测及应急抢险要求，并得到招标人的认可。投标方配置的设备由投标方自行承担其使用费、修理费，必要时招标方有权调用这些设备。</w:t>
      </w:r>
    </w:p>
    <w:p>
      <w:pPr>
        <w:pStyle w:val="6"/>
        <w:ind w:firstLine="640"/>
        <w:rPr>
          <w:rFonts w:ascii="仿宋_GB2312" w:hAnsi="仿宋_GB2312"/>
        </w:rPr>
      </w:pPr>
      <w:r>
        <w:rPr>
          <w:rFonts w:hint="eastAsia" w:ascii="仿宋_GB2312" w:hAnsi="仿宋_GB2312"/>
        </w:rPr>
        <w:t>6.1.5结构监测项目所需材料由投标方提供。</w:t>
      </w:r>
    </w:p>
    <w:p>
      <w:pPr>
        <w:pStyle w:val="6"/>
        <w:ind w:firstLine="640"/>
        <w:rPr>
          <w:rFonts w:ascii="仿宋_GB2312" w:hAnsi="仿宋_GB2312"/>
        </w:rPr>
      </w:pPr>
      <w:r>
        <w:rPr>
          <w:rFonts w:hint="eastAsia" w:ascii="仿宋_GB2312" w:hAnsi="仿宋_GB2312"/>
        </w:rPr>
        <w:t>6.1.6投标方需为其员工配发与招标方工作相适应的工作服和满足招标方要求的个人劳保防护用品，并承担相关费用。工作服的式样、标识需征得招标方同意。</w:t>
      </w:r>
    </w:p>
    <w:p>
      <w:pPr>
        <w:pStyle w:val="6"/>
        <w:ind w:firstLine="640"/>
        <w:rPr>
          <w:rFonts w:ascii="仿宋_GB2312" w:hAnsi="仿宋_GB2312"/>
        </w:rPr>
      </w:pPr>
      <w:r>
        <w:rPr>
          <w:rFonts w:hint="eastAsia" w:ascii="仿宋_GB2312" w:hAnsi="仿宋_GB2312"/>
        </w:rPr>
        <w:t>6.1.7投标方需提供因生产需要所配置的工程汽车至少一辆及其以上，以满足应对各种重大突发事件应急抢险功能和日常监测生产需求。</w:t>
      </w:r>
    </w:p>
    <w:p>
      <w:pPr>
        <w:pStyle w:val="6"/>
        <w:ind w:firstLine="640"/>
        <w:rPr>
          <w:rFonts w:ascii="仿宋_GB2312" w:hAnsi="仿宋_GB2312"/>
        </w:rPr>
      </w:pPr>
      <w:r>
        <w:rPr>
          <w:rFonts w:hint="eastAsia" w:ascii="仿宋_GB2312" w:hAnsi="仿宋_GB2312"/>
        </w:rPr>
        <w:t>6.1.8投标方所有配置由投标方自行承担其使用费、维修费，招标方有权调用。</w:t>
      </w:r>
    </w:p>
    <w:p>
      <w:pPr>
        <w:pStyle w:val="6"/>
        <w:ind w:firstLine="640"/>
        <w:rPr>
          <w:rFonts w:ascii="仿宋_GB2312" w:hAnsi="仿宋_GB2312"/>
        </w:rPr>
      </w:pPr>
      <w:r>
        <w:rPr>
          <w:rFonts w:hint="eastAsia" w:ascii="仿宋_GB2312" w:hAnsi="仿宋_GB2312"/>
        </w:rPr>
        <w:t>6.1.9投标方应根据监测计划配备足够的监测仪器和技术人员，保证在规定时间内提交结构长期变形监测成果。</w:t>
      </w:r>
    </w:p>
    <w:p>
      <w:pPr>
        <w:pStyle w:val="6"/>
        <w:ind w:firstLine="640"/>
        <w:rPr>
          <w:rFonts w:ascii="仿宋_GB2312" w:hAnsi="仿宋_GB2312"/>
        </w:rPr>
      </w:pPr>
      <w:bookmarkStart w:id="32" w:name="_Toc13326"/>
      <w:r>
        <w:rPr>
          <w:rFonts w:hint="eastAsia" w:ascii="仿宋_GB2312" w:hAnsi="仿宋_GB2312"/>
        </w:rPr>
        <w:t>6.2项目对投标方组织架构及组织保证措施的要求</w:t>
      </w:r>
      <w:bookmarkEnd w:id="32"/>
    </w:p>
    <w:p>
      <w:pPr>
        <w:pStyle w:val="6"/>
        <w:ind w:firstLine="640"/>
        <w:rPr>
          <w:rFonts w:ascii="仿宋_GB2312" w:hAnsi="仿宋_GB2312"/>
        </w:rPr>
      </w:pPr>
      <w:r>
        <w:rPr>
          <w:rFonts w:hint="eastAsia" w:ascii="仿宋_GB2312" w:hAnsi="仿宋_GB2312"/>
        </w:rPr>
        <w:t>6.2.1为保证项目的顺利进行，对于所承包的监测项目,投标人需成立项目部、设项目负责人，并按招标人规定建立相关组织。</w:t>
      </w:r>
    </w:p>
    <w:p>
      <w:pPr>
        <w:pStyle w:val="6"/>
        <w:ind w:firstLine="640"/>
        <w:rPr>
          <w:rFonts w:ascii="仿宋_GB2312" w:hAnsi="仿宋_GB2312"/>
        </w:rPr>
      </w:pPr>
      <w:r>
        <w:rPr>
          <w:rFonts w:hint="eastAsia" w:ascii="仿宋_GB2312" w:hAnsi="仿宋_GB2312"/>
        </w:rPr>
        <w:t>6.2.2投标人必须按投标文件提供其项目组织架构图及岗位职责。</w:t>
      </w:r>
    </w:p>
    <w:p>
      <w:pPr>
        <w:pStyle w:val="6"/>
        <w:ind w:firstLine="640"/>
        <w:rPr>
          <w:rFonts w:ascii="仿宋_GB2312" w:hAnsi="仿宋_GB2312"/>
        </w:rPr>
      </w:pPr>
      <w:r>
        <w:rPr>
          <w:rFonts w:hint="eastAsia" w:ascii="仿宋_GB2312" w:hAnsi="仿宋_GB2312"/>
        </w:rPr>
        <w:t>6.2.3投标人必须根据《劳动合同法》合法用工，与所有投标人项目部人员签订劳动合同、购买人身意外保险(合同期内)，在项目进场前将投标人主要人员的具体名单、人员履历表、技术职称、有效原始证件复印件、人身意外保险复印件等报招标人备案。</w:t>
      </w:r>
    </w:p>
    <w:p>
      <w:pPr>
        <w:pStyle w:val="6"/>
        <w:ind w:firstLine="640"/>
        <w:rPr>
          <w:rFonts w:ascii="仿宋_GB2312" w:hAnsi="仿宋_GB2312"/>
        </w:rPr>
      </w:pPr>
      <w:r>
        <w:rPr>
          <w:rFonts w:hint="eastAsia" w:ascii="仿宋_GB2312" w:hAnsi="仿宋_GB2312"/>
        </w:rPr>
        <w:t>6.2.4投标人应对其监测组织机构定岗、定员，监测队伍稳定、人员素质和专业技术结构满足各项监测要求。因投标人人员技术水平低，责任性差不符合招标人条件，招标人有权拒绝使用。</w:t>
      </w:r>
    </w:p>
    <w:p>
      <w:pPr>
        <w:pStyle w:val="6"/>
        <w:ind w:firstLine="640"/>
        <w:rPr>
          <w:rFonts w:ascii="仿宋_GB2312" w:hAnsi="仿宋_GB2312"/>
        </w:rPr>
      </w:pPr>
      <w:r>
        <w:rPr>
          <w:rFonts w:hint="eastAsia" w:ascii="仿宋_GB2312" w:hAnsi="仿宋_GB2312"/>
        </w:rPr>
        <w:t>6.2.5投标人相关人员按照合同要求的时间安排进场，开展工作并进行考核。</w:t>
      </w:r>
    </w:p>
    <w:p>
      <w:pPr>
        <w:pStyle w:val="6"/>
        <w:ind w:firstLine="640"/>
        <w:rPr>
          <w:rFonts w:ascii="仿宋_GB2312" w:hAnsi="仿宋_GB2312"/>
        </w:rPr>
      </w:pPr>
      <w:r>
        <w:rPr>
          <w:rFonts w:hint="eastAsia" w:ascii="仿宋_GB2312" w:hAnsi="仿宋_GB2312"/>
        </w:rPr>
        <w:t>6.2.6投标人应严格遵守和执行国家、地方、行业的相关法律、法规、规范、规程、标准及招标人的各项管理制度及规定。</w:t>
      </w:r>
    </w:p>
    <w:p>
      <w:pPr>
        <w:pStyle w:val="6"/>
        <w:ind w:firstLine="640"/>
        <w:rPr>
          <w:rFonts w:ascii="仿宋_GB2312" w:hAnsi="仿宋_GB2312"/>
        </w:rPr>
      </w:pPr>
      <w:r>
        <w:rPr>
          <w:rFonts w:hint="eastAsia" w:ascii="仿宋_GB2312" w:hAnsi="仿宋_GB2312"/>
        </w:rPr>
        <w:t>6.2.7投标人应建立健全维修管理体制，建立和不断完善管理制度。</w:t>
      </w:r>
    </w:p>
    <w:p>
      <w:pPr>
        <w:pStyle w:val="6"/>
        <w:ind w:firstLine="640"/>
        <w:rPr>
          <w:rFonts w:ascii="仿宋_GB2312" w:hAnsi="仿宋_GB2312"/>
        </w:rPr>
      </w:pPr>
      <w:r>
        <w:rPr>
          <w:rFonts w:hint="eastAsia" w:ascii="仿宋_GB2312" w:hAnsi="仿宋_GB2312"/>
        </w:rPr>
        <w:t>6.2.8投标人应严格遵守和执行国家、地方、行业的相关法律、法规、规范、规程、标准及招标人的各项管理制度及规定。</w:t>
      </w:r>
    </w:p>
    <w:p>
      <w:pPr>
        <w:pStyle w:val="6"/>
        <w:ind w:firstLine="640"/>
        <w:rPr>
          <w:rFonts w:ascii="仿宋_GB2312" w:hAnsi="仿宋_GB2312"/>
        </w:rPr>
      </w:pPr>
      <w:r>
        <w:rPr>
          <w:rFonts w:hint="eastAsia" w:ascii="仿宋_GB2312" w:hAnsi="仿宋_GB2312"/>
        </w:rPr>
        <w:t>6.2.9投标人应建立健全管理体制，建立和不断完善管理制度。</w:t>
      </w:r>
    </w:p>
    <w:p>
      <w:pPr>
        <w:pStyle w:val="4"/>
        <w:ind w:firstLine="640"/>
      </w:pPr>
      <w:bookmarkStart w:id="33" w:name="_Toc47"/>
      <w:bookmarkStart w:id="34" w:name="_Toc29601"/>
      <w:r>
        <w:rPr>
          <w:rFonts w:hint="eastAsia"/>
        </w:rPr>
        <w:t>七、项目对监测生产组织的要求</w:t>
      </w:r>
      <w:bookmarkEnd w:id="33"/>
      <w:bookmarkEnd w:id="34"/>
    </w:p>
    <w:p>
      <w:pPr>
        <w:pStyle w:val="6"/>
        <w:ind w:firstLine="640"/>
        <w:rPr>
          <w:rFonts w:ascii="仿宋_GB2312" w:hAnsi="仿宋_GB2312"/>
        </w:rPr>
      </w:pPr>
      <w:r>
        <w:rPr>
          <w:rFonts w:hint="eastAsia" w:ascii="仿宋_GB2312" w:hAnsi="仿宋_GB2312"/>
        </w:rPr>
        <w:t>7.1投标方应按照合同规定成立项目部，组织人员进场。自合同签订起招标方安排的厂家培训、内部培训，投标方应按要求参加，并承担培训合同外产生的费用。</w:t>
      </w:r>
    </w:p>
    <w:p>
      <w:pPr>
        <w:pStyle w:val="6"/>
        <w:ind w:firstLine="640"/>
        <w:rPr>
          <w:rFonts w:ascii="仿宋_GB2312" w:hAnsi="仿宋_GB2312"/>
        </w:rPr>
      </w:pPr>
      <w:r>
        <w:rPr>
          <w:rFonts w:hint="eastAsia" w:ascii="仿宋_GB2312" w:hAnsi="仿宋_GB2312"/>
        </w:rPr>
        <w:t>7.2投标方应按招标方班组管理模式进行管理。招标方对委外管理工作进行总体领导和把关，负责对项目委外工作的具体领导，负责对项目实施过程的安全和质量进行监督。</w:t>
      </w:r>
    </w:p>
    <w:p>
      <w:pPr>
        <w:pStyle w:val="6"/>
        <w:ind w:firstLine="640"/>
        <w:rPr>
          <w:rFonts w:ascii="仿宋_GB2312" w:hAnsi="仿宋_GB2312"/>
        </w:rPr>
      </w:pPr>
      <w:r>
        <w:rPr>
          <w:rFonts w:hint="eastAsia" w:ascii="仿宋_GB2312" w:hAnsi="仿宋_GB2312"/>
        </w:rPr>
        <w:t>7.3投标方必须严格执行国家相关的法律法规、行业标准及招标方制定的相关规程、规范和管理规定。</w:t>
      </w:r>
    </w:p>
    <w:p>
      <w:pPr>
        <w:pStyle w:val="6"/>
        <w:ind w:firstLine="640"/>
        <w:rPr>
          <w:rFonts w:ascii="仿宋_GB2312" w:hAnsi="仿宋_GB2312"/>
        </w:rPr>
      </w:pPr>
      <w:r>
        <w:rPr>
          <w:rFonts w:hint="eastAsia" w:ascii="仿宋_GB2312" w:hAnsi="仿宋_GB2312"/>
        </w:rPr>
        <w:t>7.4投标方必须按监测频率要求制定作业计划报招标方备案，并接受招标方的检查、监督。</w:t>
      </w:r>
    </w:p>
    <w:p>
      <w:pPr>
        <w:ind w:firstLine="640"/>
        <w:rPr>
          <w:rFonts w:ascii="仿宋_GB2312" w:hAnsi="仿宋_GB2312"/>
        </w:rPr>
      </w:pPr>
      <w:r>
        <w:rPr>
          <w:rFonts w:hint="eastAsia" w:ascii="仿宋_GB2312" w:hAnsi="仿宋_GB2312"/>
        </w:rPr>
        <w:t>7.5投标方应按相应标准、规范规定要求完成作业过程中的测量、巡查记录，将作业过程中发生的各种资料、文件按要求存档，并报招标方备案。</w:t>
      </w:r>
    </w:p>
    <w:p>
      <w:pPr>
        <w:pStyle w:val="6"/>
        <w:ind w:firstLine="640"/>
        <w:rPr>
          <w:rFonts w:ascii="仿宋_GB2312" w:hAnsi="仿宋_GB2312"/>
        </w:rPr>
      </w:pPr>
      <w:r>
        <w:rPr>
          <w:rFonts w:hint="eastAsia" w:ascii="仿宋_GB2312" w:hAnsi="仿宋_GB2312"/>
        </w:rPr>
        <w:t>7.6监测布点工作完工后，经双方人员检查、验收确认后，才能进行监测工作。</w:t>
      </w:r>
    </w:p>
    <w:p>
      <w:pPr>
        <w:pStyle w:val="6"/>
        <w:ind w:firstLine="640"/>
        <w:rPr>
          <w:rFonts w:ascii="仿宋_GB2312" w:hAnsi="仿宋_GB2312"/>
        </w:rPr>
      </w:pPr>
      <w:r>
        <w:rPr>
          <w:rFonts w:hint="eastAsia" w:ascii="仿宋_GB2312" w:hAnsi="仿宋_GB2312"/>
        </w:rPr>
        <w:t>7.7投标方应按相应标准、规范规定认真完成设备运行过程中的故障记录、试验调整记录、监测记录、工作安排记录等文字记录，并将运营生产过程中发生的各种资料、文件按要求存档。</w:t>
      </w:r>
    </w:p>
    <w:p>
      <w:pPr>
        <w:ind w:firstLine="640"/>
        <w:rPr>
          <w:rFonts w:ascii="仿宋_GB2312" w:hAnsi="仿宋_GB2312"/>
        </w:rPr>
      </w:pPr>
      <w:r>
        <w:rPr>
          <w:rFonts w:hint="eastAsia" w:ascii="仿宋_GB2312" w:hAnsi="仿宋_GB2312"/>
        </w:rPr>
        <w:t>7.8当监测工作按计划完成有困难时，投标方应及时调整人力、物力或采取相应措施，并向招标方报告，否则按不完成项目考核；当监测工作实际进度与已确认的计划不符时，投标方应按投标方要求提出改进措施。</w:t>
      </w:r>
    </w:p>
    <w:p>
      <w:pPr>
        <w:pStyle w:val="6"/>
        <w:ind w:firstLine="640"/>
        <w:jc w:val="left"/>
      </w:pPr>
      <w:r>
        <w:rPr>
          <w:rFonts w:hint="eastAsia" w:ascii="仿宋_GB2312" w:hAnsi="仿宋_GB2312"/>
        </w:rPr>
        <w:t>7.9投标方负责人（必要时同时安排其他人员）应每月参加招标方的生产会，并及时向员工传达生产会议精神。</w:t>
      </w:r>
    </w:p>
    <w:p>
      <w:pPr>
        <w:pStyle w:val="4"/>
        <w:ind w:firstLine="640"/>
      </w:pPr>
      <w:bookmarkStart w:id="35" w:name="_Toc7799"/>
      <w:bookmarkStart w:id="36" w:name="_Toc10638"/>
      <w:r>
        <w:rPr>
          <w:rFonts w:hint="eastAsia"/>
        </w:rPr>
        <w:t>八、项目对安全管理的要求</w:t>
      </w:r>
      <w:bookmarkEnd w:id="35"/>
      <w:bookmarkEnd w:id="36"/>
    </w:p>
    <w:p>
      <w:pPr>
        <w:pStyle w:val="6"/>
        <w:ind w:firstLine="640"/>
        <w:rPr>
          <w:rFonts w:ascii="仿宋_GB2312" w:hAnsi="仿宋_GB2312"/>
        </w:rPr>
      </w:pPr>
      <w:r>
        <w:rPr>
          <w:rFonts w:hint="eastAsia" w:ascii="仿宋_GB2312" w:hAnsi="仿宋_GB2312"/>
        </w:rPr>
        <w:t>投标方应严格遵照现行国家及有关部门的安全法规、规范、规定，对本项目进行安全管理，加强现场作业和日常安全管理的检查，确保安全施工，杜绝一切人身伤亡事故。要有完整的安全管理组织体制、保证措施，实行安全生产逐级负责制，层层落实安全生产责任，抓好安全基础工作。要有专（兼）职安全管理人员，负责设备维修和日常的安全、防火工作等。</w:t>
      </w:r>
    </w:p>
    <w:p>
      <w:pPr>
        <w:pStyle w:val="6"/>
        <w:ind w:firstLine="640"/>
        <w:rPr>
          <w:rFonts w:ascii="仿宋_GB2312" w:hAnsi="仿宋_GB2312"/>
        </w:rPr>
      </w:pPr>
      <w:r>
        <w:rPr>
          <w:rFonts w:hint="eastAsia" w:ascii="仿宋_GB2312" w:hAnsi="仿宋_GB2312"/>
        </w:rPr>
        <w:t>8.1投标方必须按监测项目的安全目标、安全指标进行安全管理。必须严格执行招标方制定的各项安全管理制度。</w:t>
      </w:r>
    </w:p>
    <w:p>
      <w:pPr>
        <w:pStyle w:val="6"/>
        <w:ind w:firstLine="640"/>
        <w:rPr>
          <w:rFonts w:ascii="仿宋_GB2312" w:hAnsi="仿宋_GB2312"/>
        </w:rPr>
      </w:pPr>
      <w:r>
        <w:rPr>
          <w:rFonts w:hint="eastAsia" w:ascii="仿宋_GB2312" w:hAnsi="仿宋_GB2312"/>
        </w:rPr>
        <w:t>8.2投标方必须提供本监测项目的安全管理组织架构及岗位职责。</w:t>
      </w:r>
    </w:p>
    <w:p>
      <w:pPr>
        <w:pStyle w:val="6"/>
        <w:ind w:firstLine="640"/>
        <w:rPr>
          <w:rFonts w:ascii="仿宋_GB2312" w:hAnsi="仿宋_GB2312"/>
        </w:rPr>
      </w:pPr>
      <w:r>
        <w:rPr>
          <w:rFonts w:hint="eastAsia" w:ascii="仿宋_GB2312" w:hAnsi="仿宋_GB2312"/>
        </w:rPr>
        <w:t>8.3投标方必须坚持“安全第一，预防为主，综合治理”的方针，坚持安全的长期教育，坚持将安全理念教育和生产作业环节相结合，确保人身、设备、行车、消防等安全。</w:t>
      </w:r>
    </w:p>
    <w:p>
      <w:pPr>
        <w:pStyle w:val="6"/>
        <w:ind w:firstLine="640"/>
        <w:rPr>
          <w:rFonts w:ascii="仿宋_GB2312" w:hAnsi="仿宋_GB2312"/>
        </w:rPr>
      </w:pPr>
      <w:r>
        <w:rPr>
          <w:rFonts w:hint="eastAsia" w:ascii="仿宋_GB2312" w:hAnsi="仿宋_GB2312"/>
        </w:rPr>
        <w:t>8.4招标方安全、技术人员进行监督检查时发现投标方人员违反安全管理规定，影响行车、设备、人身、消防等安全的应给予制止，必要时停止作业，其产生的后果由投标方承担。</w:t>
      </w:r>
    </w:p>
    <w:p>
      <w:pPr>
        <w:pStyle w:val="6"/>
        <w:ind w:firstLine="640"/>
        <w:rPr>
          <w:rFonts w:ascii="仿宋_GB2312" w:hAnsi="仿宋_GB2312"/>
        </w:rPr>
      </w:pPr>
      <w:r>
        <w:rPr>
          <w:rFonts w:hint="eastAsia" w:ascii="仿宋_GB2312" w:hAnsi="仿宋_GB2312"/>
        </w:rPr>
        <w:t>8.5因项目管理不善造成人员工伤的由投标方负责办理理赔，造成第三方损失的应独立应诉并承担相关费用。</w:t>
      </w:r>
    </w:p>
    <w:p>
      <w:pPr>
        <w:pStyle w:val="6"/>
        <w:ind w:firstLine="640"/>
        <w:rPr>
          <w:rFonts w:ascii="仿宋_GB2312" w:hAnsi="仿宋_GB2312"/>
        </w:rPr>
      </w:pPr>
      <w:r>
        <w:rPr>
          <w:rFonts w:hint="eastAsia" w:ascii="仿宋_GB2312" w:hAnsi="仿宋_GB2312"/>
        </w:rPr>
        <w:t>8.6因项目管理不善，安全管理和技术管理缺陷造成轨道交通重大损失的应进行责任赔偿，构成违法犯罪的交公安机关处理。</w:t>
      </w:r>
    </w:p>
    <w:p>
      <w:pPr>
        <w:pStyle w:val="6"/>
        <w:ind w:firstLine="640"/>
        <w:rPr>
          <w:rFonts w:ascii="仿宋_GB2312" w:hAnsi="仿宋_GB2312"/>
        </w:rPr>
      </w:pPr>
      <w:r>
        <w:rPr>
          <w:rFonts w:hint="eastAsia" w:ascii="仿宋_GB2312" w:hAnsi="仿宋_GB2312"/>
        </w:rPr>
        <w:t>8.7投标方职工在安全生产中有杰出表现避免轨道交通重大安全事故的由招标方给予表彰。</w:t>
      </w:r>
    </w:p>
    <w:p>
      <w:pPr>
        <w:pStyle w:val="6"/>
        <w:ind w:firstLine="640"/>
        <w:rPr>
          <w:rFonts w:ascii="仿宋_GB2312" w:hAnsi="仿宋_GB2312"/>
        </w:rPr>
      </w:pPr>
      <w:r>
        <w:rPr>
          <w:rFonts w:hint="eastAsia" w:ascii="仿宋_GB2312" w:hAnsi="仿宋_GB2312"/>
        </w:rPr>
        <w:t>8.8投标方人员必须按照国家相关法律法规进行安全教育并考试合格后方可上岗作业，特殊工种需取得相关资格证书方能上岗作业（有效期内）。</w:t>
      </w:r>
    </w:p>
    <w:p>
      <w:pPr>
        <w:pStyle w:val="6"/>
        <w:ind w:firstLine="640"/>
        <w:rPr>
          <w:rFonts w:ascii="仿宋_GB2312" w:hAnsi="仿宋_GB2312"/>
        </w:rPr>
      </w:pPr>
      <w:r>
        <w:rPr>
          <w:rFonts w:hint="eastAsia" w:ascii="仿宋_GB2312" w:hAnsi="仿宋_GB2312"/>
        </w:rPr>
        <w:t>8.9投标方必需严格遵照省市关部门及招标方的疫情防控要求，仔细贯彻招标方及上级管理部门关于疫情防控各项文件的规定，保证执行其中的每一条要求，确保疫情防控的管理落实到位。</w:t>
      </w:r>
    </w:p>
    <w:p>
      <w:pPr>
        <w:pStyle w:val="4"/>
        <w:ind w:firstLine="640"/>
      </w:pPr>
      <w:bookmarkStart w:id="37" w:name="_Toc25109"/>
      <w:bookmarkStart w:id="38" w:name="_Toc21341"/>
      <w:r>
        <w:rPr>
          <w:rFonts w:hint="eastAsia"/>
        </w:rPr>
        <w:t>九、项目对应急处理组织和能力的要求</w:t>
      </w:r>
      <w:bookmarkEnd w:id="37"/>
      <w:bookmarkEnd w:id="38"/>
    </w:p>
    <w:p>
      <w:pPr>
        <w:ind w:firstLine="640"/>
        <w:rPr>
          <w:rFonts w:ascii="仿宋_GB2312" w:hAnsi="仿宋_GB2312"/>
          <w:szCs w:val="21"/>
        </w:rPr>
      </w:pPr>
      <w:r>
        <w:rPr>
          <w:rFonts w:hint="eastAsia" w:ascii="仿宋_GB2312" w:hAnsi="仿宋_GB2312"/>
          <w:szCs w:val="21"/>
        </w:rPr>
        <w:t>9.1投标方应成立以项目负责人为组长的应急处理小组，其名单和通讯方式应在招标方备案，应急处理小组接受招标方的检查、指导和指挥；</w:t>
      </w:r>
    </w:p>
    <w:p>
      <w:pPr>
        <w:ind w:firstLine="640"/>
        <w:rPr>
          <w:rFonts w:ascii="仿宋_GB2312" w:hAnsi="仿宋_GB2312"/>
        </w:rPr>
      </w:pPr>
      <w:r>
        <w:rPr>
          <w:rFonts w:hint="eastAsia" w:ascii="仿宋_GB2312" w:hAnsi="仿宋_GB2312"/>
          <w:szCs w:val="21"/>
        </w:rPr>
        <w:t>9.2投标方应急处理小组各成员应明确职责。</w:t>
      </w:r>
      <w:r>
        <w:rPr>
          <w:rFonts w:hint="eastAsia" w:ascii="仿宋_GB2312" w:hAnsi="仿宋_GB2312"/>
        </w:rPr>
        <w:t>项目主要负责人作为应急抢险投标方负责人服从招标方的统一指挥，组织投标方人员及时响应，投标方管理人员和生产骨干要24小时保持通讯联络畅通，</w:t>
      </w:r>
      <w:r>
        <w:rPr>
          <w:rFonts w:hint="eastAsia" w:ascii="仿宋_GB2312" w:hAnsi="仿宋_GB2312"/>
          <w:szCs w:val="21"/>
        </w:rPr>
        <w:t>满足事故抢修的需要。安排值班和驻站的人员只能在规定的工作范围内进行生产活动，不得随意脱岗。</w:t>
      </w:r>
    </w:p>
    <w:p>
      <w:pPr>
        <w:ind w:firstLine="640"/>
        <w:rPr>
          <w:rFonts w:ascii="仿宋_GB2312" w:hAnsi="仿宋_GB2312"/>
          <w:szCs w:val="21"/>
        </w:rPr>
      </w:pPr>
      <w:r>
        <w:rPr>
          <w:rFonts w:hint="eastAsia" w:ascii="仿宋_GB2312" w:hAnsi="仿宋_GB2312"/>
          <w:szCs w:val="21"/>
        </w:rPr>
        <w:t>9.3投标方应每月组织生产人员进行应急处置预案的学习并做好学习记录。</w:t>
      </w:r>
    </w:p>
    <w:p>
      <w:pPr>
        <w:ind w:firstLine="640"/>
        <w:rPr>
          <w:rFonts w:ascii="仿宋_GB2312" w:hAnsi="仿宋_GB2312"/>
          <w:szCs w:val="21"/>
        </w:rPr>
      </w:pPr>
      <w:r>
        <w:rPr>
          <w:rFonts w:hint="eastAsia" w:ascii="仿宋_GB2312" w:hAnsi="仿宋_GB2312"/>
          <w:szCs w:val="21"/>
        </w:rPr>
        <w:t>9.4投标方应定期组织生产人员加强对国内外轨道交通或其他相关行业典型事故案例（含原因、处置方案、教训和预防措施）的学习，吸取教训，杜绝类似事故在金华轨道交通的发生。事故案例的学习应记录学习纪要，学习人员应在案例上签名。</w:t>
      </w:r>
    </w:p>
    <w:p>
      <w:pPr>
        <w:ind w:firstLine="640"/>
        <w:rPr>
          <w:rFonts w:ascii="仿宋_GB2312" w:hAnsi="仿宋_GB2312"/>
          <w:szCs w:val="21"/>
        </w:rPr>
      </w:pPr>
      <w:r>
        <w:rPr>
          <w:rFonts w:hint="eastAsia" w:ascii="仿宋_GB2312" w:hAnsi="仿宋_GB2312"/>
          <w:szCs w:val="21"/>
        </w:rPr>
        <w:t>9.5投标方应按照招标方编制的应急演练计划组织开展事故处置演练，做好演练的相关记录（含图像和文字），对演练内容进行总结，对处置方案进行不断优化。</w:t>
      </w:r>
    </w:p>
    <w:p>
      <w:pPr>
        <w:ind w:firstLine="640"/>
        <w:rPr>
          <w:rFonts w:ascii="仿宋_GB2312" w:hAnsi="仿宋_GB2312"/>
          <w:szCs w:val="21"/>
        </w:rPr>
      </w:pPr>
      <w:r>
        <w:rPr>
          <w:rFonts w:hint="eastAsia" w:ascii="仿宋_GB2312" w:hAnsi="仿宋_GB2312"/>
          <w:szCs w:val="21"/>
        </w:rPr>
        <w:t>9.6投标方必须接受招标方组织的对事故抢修工机具、物资材料进行检查（或抽查），发现问题投标方必须及时整改。</w:t>
      </w:r>
    </w:p>
    <w:p>
      <w:pPr>
        <w:ind w:firstLine="640"/>
        <w:rPr>
          <w:rFonts w:ascii="仿宋_GB2312" w:hAnsi="仿宋_GB2312"/>
          <w:szCs w:val="21"/>
        </w:rPr>
      </w:pPr>
      <w:r>
        <w:rPr>
          <w:rFonts w:hint="eastAsia" w:ascii="仿宋_GB2312" w:hAnsi="仿宋_GB2312"/>
          <w:szCs w:val="21"/>
        </w:rPr>
        <w:t>9.7轨道交通发生事故时，投标方人员应服从招标方的统一指挥，统一调遣，轨道交通发生应急抢险事故时，投标方人员应服从招标方的统一指挥，统一调遣，投标方为满足生产需要所配备的工器具（见附件6），除三维激光扫描仪外，其他工器具应作为应急抢险工器具，须配备齐全。</w:t>
      </w:r>
    </w:p>
    <w:p>
      <w:pPr>
        <w:pStyle w:val="4"/>
        <w:ind w:firstLine="640"/>
        <w:rPr>
          <w:rFonts w:ascii="仿宋_GB2312" w:hAnsi="仿宋_GB2312" w:eastAsia="仿宋_GB2312"/>
        </w:rPr>
      </w:pPr>
      <w:bookmarkStart w:id="39" w:name="_Toc295822001"/>
      <w:bookmarkStart w:id="40" w:name="_Toc20841"/>
      <w:bookmarkStart w:id="41" w:name="_Toc295822030"/>
      <w:bookmarkStart w:id="42" w:name="_Toc19590"/>
      <w:r>
        <w:rPr>
          <w:rFonts w:hint="eastAsia"/>
        </w:rPr>
        <w:t>十、</w:t>
      </w:r>
      <w:bookmarkEnd w:id="39"/>
      <w:bookmarkEnd w:id="40"/>
      <w:bookmarkEnd w:id="41"/>
      <w:r>
        <w:rPr>
          <w:rFonts w:hint="eastAsia"/>
        </w:rPr>
        <w:t>项目对质量管理的要求</w:t>
      </w:r>
      <w:bookmarkEnd w:id="42"/>
    </w:p>
    <w:p>
      <w:pPr>
        <w:ind w:firstLine="640"/>
        <w:rPr>
          <w:rFonts w:ascii="仿宋_GB2312" w:hAnsi="仿宋_GB2312"/>
        </w:rPr>
      </w:pPr>
      <w:r>
        <w:rPr>
          <w:rFonts w:hint="eastAsia" w:ascii="仿宋_GB2312" w:hAnsi="仿宋_GB2312"/>
        </w:rPr>
        <w:t>10.1</w:t>
      </w:r>
      <w:r>
        <w:rPr>
          <w:rFonts w:hint="eastAsia" w:ascii="仿宋_GB2312" w:hAnsi="仿宋_GB2312"/>
          <w:szCs w:val="21"/>
        </w:rPr>
        <w:t>投标方</w:t>
      </w:r>
      <w:r>
        <w:rPr>
          <w:rFonts w:hint="eastAsia" w:ascii="仿宋_GB2312" w:hAnsi="仿宋_GB2312"/>
        </w:rPr>
        <w:t>必须认真贯彻执行甲方的质量保证体系。以完整的质量管理体系对待每一项测量工作，对测量质量严格要求。</w:t>
      </w:r>
    </w:p>
    <w:p>
      <w:pPr>
        <w:ind w:firstLine="640"/>
        <w:rPr>
          <w:rFonts w:ascii="仿宋_GB2312" w:hAnsi="仿宋_GB2312"/>
        </w:rPr>
      </w:pPr>
      <w:r>
        <w:rPr>
          <w:rFonts w:hint="eastAsia" w:ascii="仿宋_GB2312" w:hAnsi="仿宋_GB2312"/>
        </w:rPr>
        <w:t>10.2</w:t>
      </w:r>
      <w:r>
        <w:rPr>
          <w:rFonts w:hint="eastAsia" w:ascii="仿宋_GB2312" w:hAnsi="仿宋_GB2312"/>
          <w:szCs w:val="21"/>
        </w:rPr>
        <w:t>投标方</w:t>
      </w:r>
      <w:r>
        <w:rPr>
          <w:rFonts w:hint="eastAsia" w:ascii="仿宋_GB2312" w:hAnsi="仿宋_GB2312"/>
        </w:rPr>
        <w:t>必须认真贯彻“安全第一，预防为主”的方针，在确保安全、提高质量的基础上努力提高效率、降低成本。</w:t>
      </w:r>
    </w:p>
    <w:p>
      <w:pPr>
        <w:ind w:firstLine="640"/>
        <w:rPr>
          <w:rFonts w:ascii="仿宋_GB2312" w:hAnsi="仿宋_GB2312"/>
        </w:rPr>
      </w:pPr>
      <w:r>
        <w:rPr>
          <w:rFonts w:hint="eastAsia" w:ascii="仿宋_GB2312" w:hAnsi="仿宋_GB2312"/>
        </w:rPr>
        <w:t>10.3</w:t>
      </w:r>
      <w:r>
        <w:rPr>
          <w:rFonts w:hint="eastAsia" w:ascii="仿宋_GB2312" w:hAnsi="仿宋_GB2312"/>
          <w:szCs w:val="21"/>
        </w:rPr>
        <w:t>投标方</w:t>
      </w:r>
      <w:r>
        <w:rPr>
          <w:rFonts w:hint="eastAsia" w:ascii="仿宋_GB2312" w:hAnsi="仿宋_GB2312"/>
        </w:rPr>
        <w:t>必须加强对员工的质量意识教育，充分调动所有人员的积极性，增强人员的责任感，抓好作业过程中的质量控制，加大质量管理和质量检验力度，接受招标方的检查、监督。</w:t>
      </w:r>
    </w:p>
    <w:p>
      <w:pPr>
        <w:ind w:firstLine="640"/>
        <w:rPr>
          <w:rFonts w:ascii="仿宋_GB2312" w:hAnsi="仿宋_GB2312"/>
        </w:rPr>
      </w:pPr>
      <w:r>
        <w:rPr>
          <w:rFonts w:hint="eastAsia" w:ascii="仿宋_GB2312" w:hAnsi="仿宋_GB2312"/>
        </w:rPr>
        <w:t>10.4</w:t>
      </w:r>
      <w:r>
        <w:rPr>
          <w:rFonts w:hint="eastAsia" w:ascii="仿宋_GB2312" w:hAnsi="仿宋_GB2312"/>
          <w:szCs w:val="21"/>
        </w:rPr>
        <w:t>投标方</w:t>
      </w:r>
      <w:r>
        <w:rPr>
          <w:rFonts w:hint="eastAsia" w:ascii="仿宋_GB2312" w:hAnsi="仿宋_GB2312"/>
        </w:rPr>
        <w:t>必须保证作业管理标准化、规范化，保证所提供的服务与所有有关的技术要求规定一致，确保监测质量和工期。</w:t>
      </w:r>
    </w:p>
    <w:p>
      <w:pPr>
        <w:ind w:firstLine="640"/>
        <w:rPr>
          <w:rFonts w:ascii="仿宋_GB2312" w:hAnsi="仿宋_GB2312"/>
        </w:rPr>
      </w:pPr>
      <w:r>
        <w:rPr>
          <w:rFonts w:hint="eastAsia" w:ascii="仿宋_GB2312" w:hAnsi="仿宋_GB2312"/>
        </w:rPr>
        <w:t>10.5</w:t>
      </w:r>
      <w:r>
        <w:rPr>
          <w:rFonts w:hint="eastAsia" w:ascii="仿宋_GB2312" w:hAnsi="仿宋_GB2312"/>
          <w:szCs w:val="21"/>
        </w:rPr>
        <w:t>投标方</w:t>
      </w:r>
      <w:r>
        <w:rPr>
          <w:rFonts w:hint="eastAsia" w:ascii="仿宋_GB2312" w:hAnsi="仿宋_GB2312"/>
        </w:rPr>
        <w:t>必须保证对监测工作使用的机具、设备、计量器具严格管理。在使用前对检验、测量和试验设备进行仔细检查，保证使用合格的计量器具。</w:t>
      </w:r>
    </w:p>
    <w:p>
      <w:pPr>
        <w:ind w:firstLine="640"/>
        <w:rPr>
          <w:rFonts w:ascii="仿宋_GB2312" w:hAnsi="仿宋_GB2312"/>
        </w:rPr>
      </w:pPr>
      <w:r>
        <w:rPr>
          <w:rFonts w:hint="eastAsia" w:ascii="仿宋_GB2312" w:hAnsi="仿宋_GB2312"/>
        </w:rPr>
        <w:t>10.6</w:t>
      </w:r>
      <w:r>
        <w:rPr>
          <w:rFonts w:hint="eastAsia" w:ascii="仿宋_GB2312" w:hAnsi="仿宋_GB2312"/>
          <w:szCs w:val="21"/>
        </w:rPr>
        <w:t>投标方</w:t>
      </w:r>
      <w:r>
        <w:rPr>
          <w:rFonts w:hint="eastAsia" w:ascii="仿宋_GB2312" w:hAnsi="仿宋_GB2312"/>
        </w:rPr>
        <w:t>必须对关键工序和特殊过程严加控制，制定相关作业指导书，确保工序质量，做到不合格工序不转序，不合格项目不移交。</w:t>
      </w:r>
    </w:p>
    <w:p>
      <w:pPr>
        <w:ind w:firstLine="640"/>
        <w:rPr>
          <w:rFonts w:ascii="仿宋_GB2312" w:hAnsi="仿宋_GB2312"/>
        </w:rPr>
      </w:pPr>
      <w:r>
        <w:rPr>
          <w:rFonts w:hint="eastAsia" w:ascii="仿宋_GB2312" w:hAnsi="仿宋_GB2312"/>
        </w:rPr>
        <w:t>10.7作业过程中发生的质量问题或质量事故，</w:t>
      </w:r>
      <w:r>
        <w:rPr>
          <w:rFonts w:hint="eastAsia" w:ascii="仿宋_GB2312" w:hAnsi="仿宋_GB2312"/>
          <w:szCs w:val="21"/>
        </w:rPr>
        <w:t>投标方</w:t>
      </w:r>
      <w:r>
        <w:rPr>
          <w:rFonts w:hint="eastAsia" w:ascii="仿宋_GB2312" w:hAnsi="仿宋_GB2312"/>
        </w:rPr>
        <w:t>要及时报告招标方并及时制定处理方案，经招标方及有关部门审批后组织实施。</w:t>
      </w:r>
    </w:p>
    <w:p>
      <w:pPr>
        <w:ind w:firstLine="640"/>
        <w:rPr>
          <w:rFonts w:ascii="仿宋_GB2312" w:hAnsi="仿宋_GB2312"/>
        </w:rPr>
      </w:pPr>
      <w:r>
        <w:rPr>
          <w:rFonts w:hint="eastAsia" w:ascii="仿宋_GB2312" w:hAnsi="仿宋_GB2312"/>
        </w:rPr>
        <w:t>10.8</w:t>
      </w:r>
      <w:r>
        <w:rPr>
          <w:rFonts w:hint="eastAsia" w:ascii="仿宋_GB2312" w:hAnsi="仿宋_GB2312"/>
          <w:szCs w:val="21"/>
        </w:rPr>
        <w:t>投标方</w:t>
      </w:r>
      <w:r>
        <w:rPr>
          <w:rFonts w:hint="eastAsia" w:ascii="仿宋_GB2312" w:hAnsi="仿宋_GB2312"/>
        </w:rPr>
        <w:t>保证给予招标方人员在检查其服务管理体系和监测的任一环节提供方便。</w:t>
      </w:r>
    </w:p>
    <w:p>
      <w:pPr>
        <w:pStyle w:val="4"/>
        <w:ind w:firstLine="640"/>
      </w:pPr>
      <w:bookmarkStart w:id="43" w:name="_Toc22475"/>
      <w:bookmarkStart w:id="44" w:name="_Toc31574"/>
      <w:r>
        <w:rPr>
          <w:rFonts w:hint="eastAsia"/>
        </w:rPr>
        <w:t>十一、项目对物资管理的要求</w:t>
      </w:r>
      <w:bookmarkEnd w:id="43"/>
      <w:bookmarkEnd w:id="44"/>
    </w:p>
    <w:p>
      <w:pPr>
        <w:pStyle w:val="6"/>
        <w:ind w:firstLine="640"/>
        <w:rPr>
          <w:rFonts w:ascii="仿宋_GB2312" w:hAnsi="仿宋_GB2312"/>
        </w:rPr>
      </w:pPr>
      <w:r>
        <w:rPr>
          <w:rFonts w:hint="eastAsia" w:ascii="仿宋_GB2312" w:hAnsi="仿宋_GB2312"/>
        </w:rPr>
        <w:t>11.1严格执行招标方物资管理规定。</w:t>
      </w:r>
    </w:p>
    <w:p>
      <w:pPr>
        <w:pStyle w:val="6"/>
        <w:ind w:firstLine="640"/>
        <w:rPr>
          <w:rFonts w:ascii="仿宋_GB2312" w:hAnsi="仿宋_GB2312"/>
        </w:rPr>
      </w:pPr>
      <w:r>
        <w:rPr>
          <w:rFonts w:hint="eastAsia" w:ascii="仿宋_GB2312" w:hAnsi="仿宋_GB2312"/>
        </w:rPr>
        <w:t>11.2投标方配备的物资，须确保物资名称和库存数量满足监测需求，并由投标方负责保管、试验工作，招标方负责监督、检查。</w:t>
      </w:r>
    </w:p>
    <w:p>
      <w:pPr>
        <w:pStyle w:val="6"/>
        <w:ind w:firstLine="600"/>
        <w:rPr>
          <w:rFonts w:ascii="仿宋_GB2312" w:hAnsi="仿宋_GB2312"/>
        </w:rPr>
      </w:pPr>
      <w:r>
        <w:rPr>
          <w:rFonts w:hint="eastAsia" w:ascii="仿宋_GB2312" w:hAnsi="仿宋_GB2312"/>
          <w:sz w:val="30"/>
          <w:szCs w:val="30"/>
        </w:rPr>
        <w:t>1</w:t>
      </w:r>
      <w:r>
        <w:rPr>
          <w:rFonts w:hint="eastAsia" w:ascii="仿宋_GB2312" w:hAnsi="仿宋_GB2312"/>
        </w:rPr>
        <w:t>1.3投标方应当在监测项目监测前一定时间内提交材料一览表。一览表包括材料的品种、规格、型号、数量、质量标准，并由招标方进行审核。</w:t>
      </w:r>
    </w:p>
    <w:p>
      <w:pPr>
        <w:pStyle w:val="6"/>
        <w:ind w:firstLine="640"/>
        <w:rPr>
          <w:rFonts w:ascii="仿宋_GB2312" w:hAnsi="仿宋_GB2312"/>
        </w:rPr>
      </w:pPr>
      <w:r>
        <w:rPr>
          <w:rFonts w:hint="eastAsia" w:ascii="仿宋_GB2312" w:hAnsi="仿宋_GB2312"/>
        </w:rPr>
        <w:t>11.4备品备件、仪器仪表、工机具等监测设备以及材料的存储、使用、报废，投标方须做好记录。</w:t>
      </w:r>
    </w:p>
    <w:p>
      <w:pPr>
        <w:pStyle w:val="6"/>
        <w:ind w:firstLine="640"/>
        <w:rPr>
          <w:rFonts w:ascii="仿宋_GB2312" w:hAnsi="仿宋_GB2312"/>
        </w:rPr>
      </w:pPr>
      <w:r>
        <w:rPr>
          <w:rFonts w:hint="eastAsia" w:ascii="仿宋_GB2312" w:hAnsi="仿宋_GB2312"/>
        </w:rPr>
        <w:t>11.5投标方应按国家相应标准、规范对使用的备品备件、仪器仪表等物资进行检测，以确保其能够达到应用标准。</w:t>
      </w:r>
    </w:p>
    <w:p>
      <w:pPr>
        <w:pStyle w:val="6"/>
        <w:ind w:firstLine="640"/>
        <w:rPr>
          <w:rFonts w:ascii="仿宋_GB2312" w:hAnsi="仿宋_GB2312"/>
        </w:rPr>
      </w:pPr>
      <w:r>
        <w:rPr>
          <w:rFonts w:hint="eastAsia" w:ascii="仿宋_GB2312" w:hAnsi="仿宋_GB2312"/>
        </w:rPr>
        <w:t>11.6招标方提供给投标方的图纸和其他技术资料，投标方要妥善保管并经常检查，确保完好。</w:t>
      </w:r>
    </w:p>
    <w:p>
      <w:pPr>
        <w:pStyle w:val="4"/>
        <w:ind w:firstLine="640"/>
      </w:pPr>
      <w:bookmarkStart w:id="45" w:name="_Toc26097"/>
      <w:bookmarkStart w:id="46" w:name="_Toc12129"/>
      <w:r>
        <w:rPr>
          <w:rFonts w:hint="eastAsia"/>
        </w:rPr>
        <w:t>十二、项目对文明管理的要求</w:t>
      </w:r>
      <w:bookmarkEnd w:id="45"/>
      <w:bookmarkEnd w:id="46"/>
    </w:p>
    <w:p>
      <w:pPr>
        <w:pStyle w:val="6"/>
        <w:ind w:firstLine="640"/>
        <w:rPr>
          <w:rFonts w:ascii="仿宋_GB2312" w:hAnsi="仿宋_GB2312"/>
        </w:rPr>
      </w:pPr>
      <w:r>
        <w:rPr>
          <w:rFonts w:hint="eastAsia" w:ascii="仿宋_GB2312" w:hAnsi="仿宋_GB2312"/>
        </w:rPr>
        <w:t>12.1作业过程中，投标方应合理地保持作业现场中不出现不必要的障碍，处置好作业设备及多余材料，保持现场整洁和道路畅通。</w:t>
      </w:r>
    </w:p>
    <w:p>
      <w:pPr>
        <w:pStyle w:val="6"/>
        <w:ind w:firstLine="640"/>
        <w:rPr>
          <w:rFonts w:ascii="仿宋_GB2312" w:hAnsi="仿宋_GB2312"/>
        </w:rPr>
      </w:pPr>
      <w:r>
        <w:rPr>
          <w:rFonts w:hint="eastAsia" w:ascii="仿宋_GB2312" w:hAnsi="仿宋_GB2312"/>
        </w:rPr>
        <w:t>12.2投标方必须负责监测现场日常卫生清理工作，保证公共环境整洁。</w:t>
      </w:r>
    </w:p>
    <w:p>
      <w:pPr>
        <w:pStyle w:val="6"/>
        <w:ind w:firstLine="640"/>
        <w:rPr>
          <w:rFonts w:ascii="仿宋_GB2312" w:hAnsi="仿宋_GB2312"/>
        </w:rPr>
      </w:pPr>
      <w:r>
        <w:rPr>
          <w:rFonts w:hint="eastAsia" w:ascii="仿宋_GB2312" w:hAnsi="仿宋_GB2312"/>
        </w:rPr>
        <w:t>12.3投标方应主动维护生产场所门、窗、照明、水电和其他设施的完好，不得随意破坏。</w:t>
      </w:r>
    </w:p>
    <w:p>
      <w:pPr>
        <w:pStyle w:val="6"/>
        <w:ind w:firstLine="640"/>
        <w:rPr>
          <w:rFonts w:ascii="仿宋_GB2312" w:hAnsi="仿宋_GB2312"/>
        </w:rPr>
      </w:pPr>
      <w:r>
        <w:rPr>
          <w:rFonts w:hint="eastAsia" w:ascii="仿宋_GB2312" w:hAnsi="仿宋_GB2312"/>
        </w:rPr>
        <w:t>12.4监测结束后，投标方必须及时回收剩余材料，存放到招标方指定的地点集中堆码牢固，不得侵限；相关建筑、施工垃圾处理需满足相关规定。</w:t>
      </w:r>
    </w:p>
    <w:p>
      <w:pPr>
        <w:pStyle w:val="6"/>
        <w:ind w:firstLine="640"/>
        <w:rPr>
          <w:rFonts w:ascii="仿宋_GB2312" w:hAnsi="仿宋_GB2312"/>
        </w:rPr>
      </w:pPr>
      <w:r>
        <w:rPr>
          <w:rFonts w:hint="eastAsia" w:ascii="仿宋_GB2312" w:hAnsi="仿宋_GB2312"/>
        </w:rPr>
        <w:t>12.5投标方员工在监测现场应讲文明、讲礼貌，遇事商量解决，严禁打架、斗殴。</w:t>
      </w:r>
    </w:p>
    <w:p>
      <w:pPr>
        <w:pStyle w:val="6"/>
        <w:ind w:firstLine="640"/>
      </w:pPr>
      <w:r>
        <w:rPr>
          <w:rFonts w:hint="eastAsia" w:ascii="仿宋_GB2312" w:hAnsi="仿宋_GB2312"/>
        </w:rPr>
        <w:t>12.6投标方员工必须执行招标方“6S”管理要求。</w:t>
      </w:r>
    </w:p>
    <w:p>
      <w:pPr>
        <w:pStyle w:val="4"/>
        <w:numPr>
          <w:ilvl w:val="0"/>
          <w:numId w:val="4"/>
        </w:numPr>
        <w:ind w:firstLine="640"/>
      </w:pPr>
      <w:bookmarkStart w:id="47" w:name="_Toc9925"/>
      <w:bookmarkStart w:id="48" w:name="_Toc15534"/>
      <w:r>
        <w:rPr>
          <w:rFonts w:hint="eastAsia"/>
        </w:rPr>
        <w:t>项目对考核与评价的要求</w:t>
      </w:r>
      <w:bookmarkEnd w:id="47"/>
      <w:bookmarkEnd w:id="48"/>
    </w:p>
    <w:p>
      <w:pPr>
        <w:pStyle w:val="4"/>
        <w:ind w:firstLine="640"/>
        <w:rPr>
          <w:rFonts w:ascii="仿宋_GB2312" w:hAnsi="仿宋_GB2312" w:eastAsia="仿宋_GB2312"/>
          <w:kern w:val="2"/>
          <w:szCs w:val="20"/>
        </w:rPr>
      </w:pPr>
      <w:bookmarkStart w:id="49" w:name="_Toc16826"/>
      <w:r>
        <w:rPr>
          <w:rFonts w:hint="eastAsia" w:ascii="仿宋_GB2312" w:hAnsi="仿宋_GB2312" w:eastAsia="仿宋_GB2312"/>
          <w:kern w:val="2"/>
          <w:szCs w:val="20"/>
        </w:rPr>
        <w:t>13.1人员类考核</w:t>
      </w:r>
      <w:bookmarkEnd w:id="49"/>
    </w:p>
    <w:p>
      <w:pPr>
        <w:ind w:firstLine="640"/>
        <w:rPr>
          <w:rFonts w:ascii="仿宋_GB2312" w:hAnsi="仿宋_GB2312"/>
          <w:szCs w:val="32"/>
        </w:rPr>
      </w:pPr>
      <w:r>
        <w:rPr>
          <w:rFonts w:hint="eastAsia" w:ascii="仿宋_GB2312" w:hAnsi="仿宋_GB2312"/>
          <w:szCs w:val="32"/>
        </w:rPr>
        <w:t>13.1.1投标人应按照合同要求投入人员，招标人每季度对照合同约定进行抽查，若不能满足合同要求，招标人有权要求投标方调整至合同要求，否则作为投标人的违约，招标人视工种情况对投标人处以2000-10000元/人次的扣款。</w:t>
      </w:r>
    </w:p>
    <w:p>
      <w:pPr>
        <w:ind w:firstLine="640"/>
        <w:rPr>
          <w:rFonts w:ascii="仿宋_GB2312" w:hAnsi="仿宋_GB2312"/>
          <w:szCs w:val="32"/>
        </w:rPr>
      </w:pPr>
      <w:r>
        <w:rPr>
          <w:rFonts w:hint="eastAsia" w:ascii="仿宋_GB2312" w:hAnsi="仿宋_GB2312"/>
          <w:szCs w:val="32"/>
        </w:rPr>
        <w:t>13.1.2非经招标人的同意，投标人不得更换监测负责人（项目经理）或技术负责人。如果投标人需要更换维保负责人或技术负责人，应至少提前10天以书面形式通知招标人，并征得招标人同意，后任应继续行使合同文件约定的前任的职权，并履行前任的义务，对于投标人未经招标方许可随意更换负责人的行为，招标人对投标人处以20000元/次的扣款。</w:t>
      </w:r>
    </w:p>
    <w:p>
      <w:pPr>
        <w:ind w:firstLine="640"/>
        <w:rPr>
          <w:rFonts w:ascii="仿宋_GB2312" w:hAnsi="仿宋_GB2312"/>
          <w:szCs w:val="32"/>
        </w:rPr>
      </w:pPr>
      <w:r>
        <w:rPr>
          <w:rFonts w:hint="eastAsia" w:ascii="仿宋_GB2312" w:hAnsi="仿宋_GB2312"/>
          <w:szCs w:val="32"/>
        </w:rPr>
        <w:t>13.1.3投标人派出的委外工作人员非经招标方同意不得更换，投标人不得转包任何监测项目和雇用非专业监测人员。若有违反，招标人视情节对投标人处以500-1000元/人次的扣款。</w:t>
      </w:r>
    </w:p>
    <w:p>
      <w:pPr>
        <w:ind w:firstLine="640"/>
        <w:rPr>
          <w:rFonts w:ascii="仿宋_GB2312" w:hAnsi="仿宋_GB2312"/>
          <w:szCs w:val="32"/>
        </w:rPr>
      </w:pPr>
      <w:r>
        <w:rPr>
          <w:rFonts w:hint="eastAsia" w:ascii="仿宋_GB2312" w:hAnsi="仿宋_GB2312"/>
          <w:szCs w:val="32"/>
        </w:rPr>
        <w:t>13.1.4招标人定期对投标人投入的监测人员进行业务能力及素质进行检查，如发现监测人员业务能力及素质满足不了现场需求，招标人有权要求15工作日内进行更换同时视情节处以500元/次的扣款，拒不更换的投标人按照人员缺失进行考核。</w:t>
      </w:r>
      <w:bookmarkStart w:id="50" w:name="_Toc533403277"/>
    </w:p>
    <w:p>
      <w:pPr>
        <w:pStyle w:val="2"/>
        <w:ind w:left="0" w:leftChars="0" w:firstLine="640"/>
        <w:rPr>
          <w:rFonts w:ascii="仿宋_GB2312" w:hAnsi="仿宋_GB2312"/>
          <w:szCs w:val="32"/>
        </w:rPr>
      </w:pPr>
      <w:r>
        <w:rPr>
          <w:rFonts w:hint="eastAsia" w:ascii="仿宋_GB2312" w:hAnsi="仿宋_GB2312"/>
          <w:szCs w:val="32"/>
        </w:rPr>
        <w:t>13.1.5在疫情防控期间，投标人投入的监测人员</w:t>
      </w:r>
      <w:r>
        <w:rPr>
          <w:rFonts w:hint="eastAsia" w:ascii="仿宋_GB2312" w:hAnsi="仿宋_GB2312"/>
        </w:rPr>
        <w:t>不按照公司要求履行报备制度</w:t>
      </w:r>
      <w:r>
        <w:rPr>
          <w:rFonts w:hint="eastAsia" w:ascii="仿宋_GB2312" w:hAnsi="仿宋_GB2312"/>
          <w:szCs w:val="32"/>
        </w:rPr>
        <w:t>私自外出，不遵守相关疫情工作规定，招标人视情节对投标人处以2000-5000元/人次的扣款。</w:t>
      </w:r>
    </w:p>
    <w:p>
      <w:pPr>
        <w:ind w:firstLine="640"/>
        <w:rPr>
          <w:rFonts w:ascii="仿宋_GB2312" w:hAnsi="仿宋_GB2312"/>
          <w:szCs w:val="20"/>
        </w:rPr>
      </w:pPr>
      <w:r>
        <w:rPr>
          <w:rFonts w:hint="eastAsia" w:ascii="仿宋_GB2312" w:hAnsi="仿宋_GB2312"/>
          <w:szCs w:val="20"/>
        </w:rPr>
        <w:t>13.2综合类考核</w:t>
      </w:r>
      <w:bookmarkEnd w:id="50"/>
    </w:p>
    <w:p>
      <w:pPr>
        <w:ind w:firstLine="640"/>
        <w:rPr>
          <w:rFonts w:ascii="仿宋_GB2312" w:hAnsi="仿宋_GB2312"/>
          <w:szCs w:val="32"/>
        </w:rPr>
      </w:pPr>
      <w:r>
        <w:rPr>
          <w:rFonts w:hint="eastAsia" w:ascii="仿宋_GB2312" w:hAnsi="仿宋_GB2312"/>
          <w:szCs w:val="32"/>
        </w:rPr>
        <w:t>13.2.1投标人应按照合同的要求配备合格监测仪器、设备并使用合格的设备，若投标人不能按照要求配备相关监测仪器、设备或要替换合同规定的设备，必须取得招标人的同意，否则作为投标人的违约，追究其违约责任，并处以该项设备等值的扣款，若影响到招标人工作的，招标人可视情节对投标人另处以200-1000元/项的扣款。需送检的监测仪器、设备须要按规定进行定期检定，否则招标人视情节对投标人处以50-200元/项的扣款；监测仪器、设备因故障等原因导致外送维修或维护保养，15天内未正常恢复使用，则视为监测仪器、设备未按要求配备，每缺一台设备每月按1000元进行罚款</w:t>
      </w:r>
      <w:r>
        <w:rPr>
          <w:rFonts w:hint="eastAsia" w:hAnsi="仿宋_GB2312"/>
          <w:szCs w:val="32"/>
        </w:rPr>
        <w:t>。</w:t>
      </w:r>
    </w:p>
    <w:p>
      <w:pPr>
        <w:ind w:firstLine="640"/>
        <w:rPr>
          <w:rFonts w:ascii="仿宋_GB2312" w:hAnsi="仿宋_GB2312"/>
          <w:szCs w:val="32"/>
        </w:rPr>
      </w:pPr>
      <w:r>
        <w:rPr>
          <w:rFonts w:hint="eastAsia" w:ascii="仿宋_GB2312" w:hAnsi="仿宋_GB2312"/>
          <w:szCs w:val="32"/>
        </w:rPr>
        <w:t>13.2.2投标人在使用招标人的供料时应服从招标人的物资管理条款，并及时向招标人报备招标人提供的材料、备件的消耗情况，对于投标人工作人员浪费招标人材料或未按招标人的相关规定处置应属于招标人的材料、备件、废料以及多余材料的行为，除投标人按价赔偿招标人损失外，招标人视情节对投标人处以100-500元/次的扣款。</w:t>
      </w:r>
    </w:p>
    <w:p>
      <w:pPr>
        <w:ind w:firstLine="640"/>
        <w:rPr>
          <w:rFonts w:ascii="仿宋_GB2312" w:hAnsi="仿宋_GB2312"/>
          <w:szCs w:val="32"/>
        </w:rPr>
      </w:pPr>
      <w:r>
        <w:rPr>
          <w:rFonts w:hint="eastAsia" w:ascii="仿宋_GB2312" w:hAnsi="仿宋_GB2312"/>
          <w:szCs w:val="32"/>
        </w:rPr>
        <w:t xml:space="preserve">13.2.3如因投标人委外工作不到位，而使招标人工作受到批评，产生不良影响，招标人视情节对投标人进行处罚，发生招标人部门级通报批评的处以200-500元/次扣款；运营公司级通报批评的处以500-5000元/次扣款；发生集团公司通报批评的处以5000-10000元/次扣款；发生媒体批评的处以10000-20000元/次扣款； </w:t>
      </w:r>
    </w:p>
    <w:p>
      <w:pPr>
        <w:ind w:firstLine="640"/>
        <w:rPr>
          <w:rFonts w:ascii="仿宋_GB2312" w:hAnsi="仿宋_GB2312"/>
          <w:szCs w:val="32"/>
        </w:rPr>
      </w:pPr>
      <w:r>
        <w:rPr>
          <w:rFonts w:hint="eastAsia" w:ascii="仿宋_GB2312" w:hAnsi="仿宋_GB2312"/>
          <w:szCs w:val="32"/>
        </w:rPr>
        <w:t>13.2.4投标人人员参加作业前，应按规定做好安全教育，在施工、监测作业中做好安全防护，禁止无特种作业操作证的人员进行特殊工种施工、监测作业，遵守招标人安全管理规定，若有违反，招标人对投标人处以100元／人次的扣款，累计3次则停工整顿。</w:t>
      </w:r>
    </w:p>
    <w:p>
      <w:pPr>
        <w:ind w:firstLine="640"/>
        <w:rPr>
          <w:rFonts w:ascii="仿宋_GB2312" w:hAnsi="仿宋_GB2312"/>
          <w:szCs w:val="32"/>
        </w:rPr>
      </w:pPr>
      <w:r>
        <w:rPr>
          <w:rFonts w:hint="eastAsia" w:ascii="仿宋_GB2312" w:hAnsi="仿宋_GB2312"/>
          <w:szCs w:val="32"/>
        </w:rPr>
        <w:t>13.2.5对于投标人人员损坏地铁的设备、危害地铁运营安全及设备和人身安全的行为，除投标人赔偿招标人的全部损失外，招标人视情节对投标人处以1000-5000元/次的扣款。</w:t>
      </w:r>
    </w:p>
    <w:p>
      <w:pPr>
        <w:ind w:firstLine="640"/>
        <w:rPr>
          <w:rFonts w:ascii="仿宋_GB2312" w:hAnsi="仿宋_GB2312"/>
          <w:szCs w:val="32"/>
        </w:rPr>
      </w:pPr>
      <w:r>
        <w:rPr>
          <w:rFonts w:hint="eastAsia" w:ascii="仿宋_GB2312" w:hAnsi="仿宋_GB2312"/>
          <w:szCs w:val="32"/>
        </w:rPr>
        <w:t>13.2.6投标人应执行招标人的值班制度等相关规章制度，对于违章行为，招标人可根据情况处以200-1000元/项次的扣款，如因投标人责任原因导致各类事故事件的发生，除投标人赔偿损失外，招标人视情节对投标人进行处罚，发生事件苗头的处以2000-5000元/次的扣款；发生一般事件的处以5000-10000元/次的扣款；发生险性事件的处以10000-20000元/次的扣款；发生一般事故及以上的按事故损失的比例（由招标人根据实际情况决定）处以不低于20000元/次的扣款。</w:t>
      </w:r>
    </w:p>
    <w:p>
      <w:pPr>
        <w:ind w:firstLine="640"/>
        <w:rPr>
          <w:rFonts w:ascii="仿宋_GB2312" w:hAnsi="仿宋_GB2312"/>
          <w:szCs w:val="32"/>
        </w:rPr>
      </w:pPr>
      <w:r>
        <w:rPr>
          <w:rFonts w:hint="eastAsia" w:ascii="仿宋_GB2312" w:hAnsi="仿宋_GB2312"/>
          <w:szCs w:val="32"/>
        </w:rPr>
        <w:t>13.2.7凡借用招标人的工器具（工器具正常使用的磨耗除外）到合同终止时，投标人要完整归还招标人，如有缺少，投标人应照价赔偿，从合同款中扣除。</w:t>
      </w:r>
    </w:p>
    <w:p>
      <w:pPr>
        <w:ind w:firstLine="640"/>
        <w:rPr>
          <w:rFonts w:ascii="仿宋_GB2312" w:hAnsi="仿宋_GB2312"/>
          <w:szCs w:val="32"/>
        </w:rPr>
      </w:pPr>
      <w:r>
        <w:rPr>
          <w:rFonts w:hint="eastAsia" w:ascii="仿宋_GB2312" w:hAnsi="仿宋_GB2312"/>
          <w:szCs w:val="32"/>
        </w:rPr>
        <w:t>13.2.8凡借用招标人的备品备件、工器具、设备等，只能用于本次服务，严禁他用，一经发现，投标人应支付1000元的违约金，从合同款中扣除。</w:t>
      </w:r>
    </w:p>
    <w:p>
      <w:pPr>
        <w:ind w:firstLine="640"/>
        <w:rPr>
          <w:rFonts w:ascii="仿宋_GB2312" w:hAnsi="仿宋_GB2312"/>
          <w:szCs w:val="32"/>
        </w:rPr>
      </w:pPr>
      <w:r>
        <w:rPr>
          <w:rFonts w:hint="eastAsia" w:ascii="仿宋_GB2312" w:hAnsi="仿宋_GB2312"/>
          <w:szCs w:val="32"/>
        </w:rPr>
        <w:t>13.2.9投标人按投标报价的劳保费用、资源配置费，投标人必须做到专款专用，严禁他用，一经发现，招标人视情节对投标人处以1000-10000元/次的扣款。</w:t>
      </w:r>
    </w:p>
    <w:p>
      <w:pPr>
        <w:pStyle w:val="2"/>
        <w:ind w:left="0" w:leftChars="0" w:firstLine="640"/>
        <w:rPr>
          <w:rFonts w:ascii="仿宋_GB2312" w:hAnsi="仿宋_GB2312"/>
          <w:szCs w:val="32"/>
        </w:rPr>
      </w:pPr>
      <w:r>
        <w:rPr>
          <w:rFonts w:hint="eastAsia" w:ascii="仿宋_GB2312" w:hAnsi="仿宋_GB2312"/>
          <w:szCs w:val="32"/>
        </w:rPr>
        <w:t>13.2.10每季度招标人对投标人的监测质量进行不定期的抽验，如不合格，招标人视情节对投标人处以1000-2000元/次的扣款；若投标人连续2个季度监测质量不合格，招标人有权单方面解除合同，投标人应赔偿由此给招标人带来的损失并扣除全部履约保证金。</w:t>
      </w:r>
    </w:p>
    <w:p>
      <w:pPr>
        <w:pStyle w:val="2"/>
        <w:ind w:left="0" w:leftChars="0" w:firstLine="640"/>
        <w:rPr>
          <w:rFonts w:ascii="仿宋_GB2312" w:hAnsi="仿宋_GB2312"/>
          <w:szCs w:val="32"/>
        </w:rPr>
      </w:pPr>
      <w:r>
        <w:rPr>
          <w:rFonts w:hint="eastAsia" w:ascii="仿宋_GB2312" w:hAnsi="仿宋_GB2312"/>
          <w:szCs w:val="32"/>
        </w:rPr>
        <w:t>13.2.11投标人未按招标人和用户需求书的时间节点要求完成本项目的监测计划和监测成果报告，招标人视延误情况对投标人处以1000-10000元/次的扣款。</w:t>
      </w:r>
    </w:p>
    <w:p>
      <w:pPr>
        <w:pStyle w:val="6"/>
        <w:ind w:firstLine="640"/>
        <w:rPr>
          <w:rFonts w:ascii="仿宋_GB2312" w:hAnsi="仿宋_GB2312"/>
        </w:rPr>
      </w:pPr>
      <w:r>
        <w:rPr>
          <w:rFonts w:hint="eastAsia" w:ascii="仿宋_GB2312" w:hAnsi="仿宋_GB2312"/>
        </w:rPr>
        <w:t>13.3考核与评价参见招标方《设施设备委外项目管理制度》、《应急预案管理制度》、《工务部委外管理细则》等。</w:t>
      </w:r>
    </w:p>
    <w:p>
      <w:pPr>
        <w:pStyle w:val="6"/>
        <w:ind w:firstLine="640"/>
        <w:rPr>
          <w:rFonts w:ascii="仿宋_GB2312" w:hAnsi="仿宋_GB2312"/>
        </w:rPr>
      </w:pPr>
      <w:r>
        <w:rPr>
          <w:rFonts w:hint="eastAsia" w:ascii="仿宋_GB2312" w:hAnsi="仿宋_GB2312"/>
        </w:rPr>
        <w:t>13.4以上监测、检测制度均执行最新的版本。</w:t>
      </w:r>
    </w:p>
    <w:p>
      <w:pPr>
        <w:pStyle w:val="4"/>
        <w:ind w:firstLine="640"/>
      </w:pPr>
      <w:bookmarkStart w:id="51" w:name="_Toc19212"/>
      <w:bookmarkStart w:id="52" w:name="_Toc28665"/>
      <w:r>
        <w:rPr>
          <w:rFonts w:hint="eastAsia"/>
        </w:rPr>
        <w:t>十四、项目的其他要求</w:t>
      </w:r>
      <w:bookmarkEnd w:id="51"/>
      <w:bookmarkEnd w:id="52"/>
    </w:p>
    <w:p>
      <w:pPr>
        <w:pStyle w:val="6"/>
        <w:ind w:firstLine="640"/>
        <w:rPr>
          <w:rFonts w:ascii="仿宋_GB2312" w:hAnsi="仿宋_GB2312"/>
        </w:rPr>
      </w:pPr>
      <w:r>
        <w:rPr>
          <w:rFonts w:hint="eastAsia" w:ascii="仿宋_GB2312" w:hAnsi="仿宋_GB2312"/>
        </w:rPr>
        <w:t>14.1投标人需比照运营招标人员工劳动保护标准为员工配备必要的劳动保护用品，为员工提供防暑经费，落实防暑防寒措施。</w:t>
      </w:r>
    </w:p>
    <w:p>
      <w:pPr>
        <w:pStyle w:val="6"/>
        <w:ind w:firstLine="640"/>
        <w:rPr>
          <w:rFonts w:ascii="仿宋_GB2312" w:hAnsi="仿宋_GB2312"/>
        </w:rPr>
      </w:pPr>
      <w:r>
        <w:rPr>
          <w:rFonts w:hint="eastAsia" w:ascii="仿宋_GB2312" w:hAnsi="仿宋_GB2312"/>
        </w:rPr>
        <w:t>14.2项目部为员工提供必要的通讯费用、住宿，员工发生加班时，投标人应按规定支付加班费，招标人不再另行发放。</w:t>
      </w:r>
    </w:p>
    <w:p>
      <w:pPr>
        <w:pStyle w:val="6"/>
        <w:ind w:firstLine="640"/>
        <w:rPr>
          <w:rFonts w:ascii="仿宋_GB2312" w:hAnsi="仿宋_GB2312"/>
        </w:rPr>
      </w:pPr>
      <w:r>
        <w:rPr>
          <w:rFonts w:hint="eastAsia" w:ascii="仿宋_GB2312" w:hAnsi="仿宋_GB2312"/>
        </w:rPr>
        <w:t>14.3项目部人员应接受招标人安排的各项培训，单次培训合格率应满足合同规定的要求。</w:t>
      </w:r>
    </w:p>
    <w:p>
      <w:pPr>
        <w:pStyle w:val="6"/>
        <w:ind w:firstLine="640"/>
        <w:rPr>
          <w:rFonts w:ascii="仿宋_GB2312" w:hAnsi="仿宋_GB2312"/>
        </w:rPr>
      </w:pPr>
      <w:r>
        <w:rPr>
          <w:rFonts w:hint="eastAsia" w:ascii="仿宋_GB2312" w:hAnsi="仿宋_GB2312"/>
        </w:rPr>
        <w:t>14.4投标人人员应符合招标人提出的要求，人员一经确定非经招标人同意不得更换和变动，发生骨干人员变动时需经双方认可，并按合同规定进行考核。对不符合要求的投标人人员，招标人有权要求调换。</w:t>
      </w:r>
    </w:p>
    <w:p>
      <w:pPr>
        <w:pStyle w:val="6"/>
        <w:ind w:firstLine="640"/>
        <w:rPr>
          <w:rFonts w:ascii="仿宋_GB2312" w:hAnsi="仿宋_GB2312"/>
        </w:rPr>
      </w:pPr>
      <w:r>
        <w:rPr>
          <w:rFonts w:hint="eastAsia" w:ascii="仿宋_GB2312" w:hAnsi="仿宋_GB2312"/>
        </w:rPr>
        <w:t>14.5投标人人员乘坐轨道交通需由项目部为员工办理乘车卡，自行支付相关费用，招标人负责配合，并按招标人要求进行严格管理。</w:t>
      </w:r>
    </w:p>
    <w:p>
      <w:pPr>
        <w:pStyle w:val="6"/>
        <w:ind w:firstLine="640"/>
        <w:rPr>
          <w:rFonts w:ascii="仿宋_GB2312" w:hAnsi="仿宋_GB2312"/>
        </w:rPr>
      </w:pPr>
      <w:r>
        <w:rPr>
          <w:rFonts w:hint="eastAsia" w:ascii="仿宋_GB2312" w:hAnsi="仿宋_GB2312"/>
        </w:rPr>
        <w:t>14.6发生以下情况招标人有权对投标人考核、要求调换相关人员、扣减委外监测费用：</w:t>
      </w:r>
    </w:p>
    <w:p>
      <w:pPr>
        <w:pStyle w:val="6"/>
        <w:ind w:firstLine="640"/>
        <w:rPr>
          <w:rFonts w:ascii="仿宋_GB2312" w:hAnsi="仿宋_GB2312"/>
        </w:rPr>
      </w:pPr>
      <w:r>
        <w:rPr>
          <w:rFonts w:hint="eastAsia" w:ascii="仿宋_GB2312" w:hAnsi="仿宋_GB2312"/>
        </w:rPr>
        <w:t>（1）投标人人员不遵守招标人的规章制度；</w:t>
      </w:r>
    </w:p>
    <w:p>
      <w:pPr>
        <w:pStyle w:val="6"/>
        <w:ind w:firstLine="640"/>
        <w:rPr>
          <w:rFonts w:ascii="仿宋_GB2312" w:hAnsi="仿宋_GB2312"/>
        </w:rPr>
      </w:pPr>
      <w:r>
        <w:rPr>
          <w:rFonts w:hint="eastAsia" w:ascii="仿宋_GB2312" w:hAnsi="仿宋_GB2312"/>
        </w:rPr>
        <w:t>（2）投标人人员不服从招标人管理，不服从工作安排；</w:t>
      </w:r>
    </w:p>
    <w:p>
      <w:pPr>
        <w:pStyle w:val="6"/>
        <w:ind w:firstLine="640"/>
        <w:rPr>
          <w:rFonts w:ascii="仿宋_GB2312" w:hAnsi="仿宋_GB2312"/>
        </w:rPr>
      </w:pPr>
      <w:r>
        <w:rPr>
          <w:rFonts w:hint="eastAsia" w:ascii="仿宋_GB2312" w:hAnsi="仿宋_GB2312"/>
        </w:rPr>
        <w:t>（3）投标人人员在工作过程中不遵守招标人的劳动纪律，擅自脱岗、迟到、早退；</w:t>
      </w:r>
    </w:p>
    <w:p>
      <w:pPr>
        <w:pStyle w:val="6"/>
        <w:ind w:firstLine="640"/>
        <w:rPr>
          <w:rFonts w:ascii="仿宋_GB2312" w:hAnsi="仿宋_GB2312"/>
        </w:rPr>
      </w:pPr>
      <w:r>
        <w:rPr>
          <w:rFonts w:hint="eastAsia" w:ascii="仿宋_GB2312" w:hAnsi="仿宋_GB2312"/>
        </w:rPr>
        <w:t>（4）因投标人人员的责任而造成事故；</w:t>
      </w:r>
    </w:p>
    <w:p>
      <w:pPr>
        <w:pStyle w:val="6"/>
        <w:ind w:firstLine="640"/>
        <w:rPr>
          <w:rFonts w:ascii="仿宋_GB2312" w:hAnsi="仿宋_GB2312"/>
        </w:rPr>
      </w:pPr>
      <w:r>
        <w:rPr>
          <w:rFonts w:hint="eastAsia" w:ascii="仿宋_GB2312" w:hAnsi="仿宋_GB2312"/>
        </w:rPr>
        <w:t>（5）投标人人员安全状况不好；</w:t>
      </w:r>
    </w:p>
    <w:p>
      <w:pPr>
        <w:pStyle w:val="6"/>
        <w:ind w:firstLine="640"/>
        <w:rPr>
          <w:rFonts w:ascii="仿宋_GB2312" w:hAnsi="仿宋_GB2312"/>
        </w:rPr>
      </w:pPr>
      <w:r>
        <w:rPr>
          <w:rFonts w:hint="eastAsia" w:ascii="仿宋_GB2312" w:hAnsi="仿宋_GB2312"/>
        </w:rPr>
        <w:t>（6）遇有紧急情况，投标人人员不服从命令；</w:t>
      </w:r>
    </w:p>
    <w:p>
      <w:pPr>
        <w:pStyle w:val="6"/>
        <w:ind w:firstLine="640"/>
        <w:rPr>
          <w:rFonts w:ascii="仿宋_GB2312" w:hAnsi="仿宋_GB2312"/>
        </w:rPr>
      </w:pPr>
      <w:r>
        <w:rPr>
          <w:rFonts w:hint="eastAsia" w:ascii="仿宋_GB2312" w:hAnsi="仿宋_GB2312"/>
        </w:rPr>
        <w:t>（7）不能按时保质保量地完成检修计划及招标人安排的临时任务。</w:t>
      </w:r>
    </w:p>
    <w:p>
      <w:pPr>
        <w:pStyle w:val="6"/>
        <w:ind w:firstLine="640"/>
        <w:rPr>
          <w:rFonts w:ascii="仿宋_GB2312" w:hAnsi="仿宋_GB2312"/>
        </w:rPr>
      </w:pPr>
      <w:r>
        <w:rPr>
          <w:rFonts w:hint="eastAsia" w:ascii="仿宋_GB2312" w:hAnsi="仿宋_GB2312"/>
        </w:rPr>
        <w:t>14.7投标人人员的工资应每月足额支付，不得拖欠，员工有考核时其当月工资不得低于金华市规定的当年最低职工工资水平。</w:t>
      </w:r>
    </w:p>
    <w:p>
      <w:pPr>
        <w:pStyle w:val="6"/>
        <w:ind w:firstLine="640"/>
        <w:rPr>
          <w:rFonts w:ascii="仿宋_GB2312" w:hAnsi="仿宋_GB2312"/>
        </w:rPr>
      </w:pPr>
      <w:r>
        <w:rPr>
          <w:rFonts w:hint="eastAsia" w:ascii="仿宋_GB2312" w:hAnsi="仿宋_GB2312"/>
        </w:rPr>
        <w:t>14.8投标方成立项目部后，在满足运营公司委外管理的要求下要有以下项目制度：项目人员培训考核制度、项目物资管理制度、项目安全生产检查制度、项目质量自查制度等。</w:t>
      </w:r>
    </w:p>
    <w:p>
      <w:pPr>
        <w:pStyle w:val="6"/>
        <w:ind w:firstLine="640"/>
        <w:rPr>
          <w:rFonts w:ascii="仿宋_GB2312" w:hAnsi="仿宋_GB2312"/>
        </w:rPr>
      </w:pPr>
      <w:r>
        <w:rPr>
          <w:rFonts w:hint="eastAsia" w:ascii="仿宋_GB2312" w:hAnsi="仿宋_GB2312"/>
        </w:rPr>
        <w:t>14.9投标人必须按本技术要求编制科学合理的监测实施方案，监测实施方案、初始值报告应组织专家论证，并按论证审定后的方案实施，论证费用包含在合同总价内。</w:t>
      </w:r>
    </w:p>
    <w:p>
      <w:pPr>
        <w:pStyle w:val="4"/>
        <w:numPr>
          <w:ilvl w:val="0"/>
          <w:numId w:val="5"/>
        </w:numPr>
        <w:ind w:firstLine="640"/>
      </w:pPr>
      <w:bookmarkStart w:id="53" w:name="_Toc24966"/>
      <w:r>
        <w:rPr>
          <w:rFonts w:hint="eastAsia"/>
        </w:rPr>
        <w:t>售后要求</w:t>
      </w:r>
      <w:bookmarkEnd w:id="53"/>
    </w:p>
    <w:p>
      <w:pPr>
        <w:pStyle w:val="6"/>
        <w:ind w:firstLine="640"/>
        <w:rPr>
          <w:rFonts w:ascii="仿宋_GB2312" w:hAnsi="仿宋_GB2312"/>
        </w:rPr>
      </w:pPr>
      <w:r>
        <w:rPr>
          <w:rFonts w:hint="eastAsia" w:ascii="仿宋_GB2312" w:hAnsi="仿宋_GB2312"/>
        </w:rPr>
        <w:t>15.1培训</w:t>
      </w:r>
    </w:p>
    <w:p>
      <w:pPr>
        <w:widowControl/>
        <w:ind w:firstLine="640"/>
        <w:jc w:val="left"/>
      </w:pPr>
      <w:r>
        <w:rPr>
          <w:rFonts w:hint="eastAsia" w:ascii="仿宋_GB2312" w:hAnsi="仿宋_GB2312"/>
          <w:szCs w:val="20"/>
        </w:rPr>
        <w:t>投标方对提供的软件应向招标方进行使用培训，并根据招标方合理性要求进行必要的更新、维护。</w:t>
      </w:r>
    </w:p>
    <w:p>
      <w:pPr>
        <w:pStyle w:val="6"/>
        <w:ind w:firstLine="640"/>
        <w:rPr>
          <w:rFonts w:ascii="仿宋_GB2312" w:hAnsi="仿宋_GB2312"/>
        </w:rPr>
      </w:pPr>
      <w:r>
        <w:rPr>
          <w:rFonts w:hint="eastAsia" w:ascii="仿宋_GB2312" w:hAnsi="仿宋_GB2312"/>
        </w:rPr>
        <w:t>15.2资料</w:t>
      </w:r>
    </w:p>
    <w:p>
      <w:pPr>
        <w:pStyle w:val="6"/>
        <w:ind w:firstLine="640"/>
        <w:rPr>
          <w:rFonts w:ascii="仿宋_GB2312" w:hAnsi="仿宋_GB2312"/>
        </w:rPr>
      </w:pPr>
      <w:r>
        <w:rPr>
          <w:rFonts w:hint="eastAsia" w:ascii="仿宋_GB2312" w:hAnsi="仿宋_GB2312"/>
        </w:rPr>
        <w:t>15.2.1结构监测：</w:t>
      </w:r>
    </w:p>
    <w:p>
      <w:pPr>
        <w:pStyle w:val="6"/>
        <w:ind w:firstLine="640"/>
        <w:rPr>
          <w:rFonts w:ascii="仿宋_GB2312" w:hAnsi="仿宋_GB2312"/>
        </w:rPr>
      </w:pPr>
      <w:r>
        <w:rPr>
          <w:rFonts w:hint="eastAsia" w:ascii="仿宋_GB2312" w:hAnsi="仿宋_GB2312"/>
        </w:rPr>
        <w:t>（1）隧道结构长期变形监测成果及分析报告；</w:t>
      </w:r>
    </w:p>
    <w:p>
      <w:pPr>
        <w:pStyle w:val="6"/>
        <w:ind w:firstLine="640"/>
        <w:rPr>
          <w:rFonts w:ascii="仿宋_GB2312" w:hAnsi="仿宋_GB2312"/>
        </w:rPr>
      </w:pPr>
      <w:r>
        <w:rPr>
          <w:rFonts w:hint="eastAsia" w:ascii="仿宋_GB2312" w:hAnsi="仿宋_GB2312"/>
        </w:rPr>
        <w:t>（2）地面水准网测量报告；</w:t>
      </w:r>
    </w:p>
    <w:p>
      <w:pPr>
        <w:pStyle w:val="6"/>
        <w:ind w:firstLine="640"/>
        <w:rPr>
          <w:rFonts w:ascii="仿宋_GB2312" w:hAnsi="仿宋_GB2312"/>
        </w:rPr>
      </w:pPr>
      <w:r>
        <w:rPr>
          <w:rFonts w:hint="eastAsia" w:ascii="仿宋_GB2312" w:hAnsi="仿宋_GB2312"/>
        </w:rPr>
        <w:t>（3）监测巡查报告；</w:t>
      </w:r>
    </w:p>
    <w:p>
      <w:pPr>
        <w:pStyle w:val="6"/>
        <w:ind w:firstLine="640"/>
        <w:rPr>
          <w:rFonts w:ascii="仿宋_GB2312" w:hAnsi="仿宋_GB2312"/>
        </w:rPr>
      </w:pPr>
      <w:r>
        <w:rPr>
          <w:rFonts w:hint="eastAsia" w:ascii="仿宋_GB2312" w:hAnsi="仿宋_GB2312"/>
        </w:rPr>
        <w:t>（4）招标方认为有必要提供的其他资料。</w:t>
      </w:r>
    </w:p>
    <w:p>
      <w:pPr>
        <w:pStyle w:val="6"/>
        <w:ind w:firstLine="640"/>
        <w:rPr>
          <w:rFonts w:ascii="仿宋_GB2312" w:hAnsi="仿宋_GB2312"/>
        </w:rPr>
      </w:pPr>
      <w:r>
        <w:rPr>
          <w:rFonts w:hint="eastAsia" w:ascii="仿宋_GB2312" w:hAnsi="仿宋_GB2312"/>
        </w:rPr>
        <w:t>15.2.2三维激光扫描：</w:t>
      </w:r>
    </w:p>
    <w:p>
      <w:pPr>
        <w:pStyle w:val="6"/>
        <w:ind w:firstLine="640"/>
        <w:rPr>
          <w:rFonts w:ascii="仿宋_GB2312" w:hAnsi="仿宋_GB2312"/>
        </w:rPr>
      </w:pPr>
      <w:r>
        <w:rPr>
          <w:rFonts w:hint="eastAsia" w:ascii="仿宋_GB2312" w:hAnsi="仿宋_GB2312"/>
        </w:rPr>
        <w:t>（1）监测仪器和设备的相关鉴定证书；</w:t>
      </w:r>
    </w:p>
    <w:p>
      <w:pPr>
        <w:pStyle w:val="6"/>
        <w:ind w:firstLine="640"/>
        <w:rPr>
          <w:rFonts w:ascii="仿宋_GB2312" w:hAnsi="仿宋_GB2312"/>
        </w:rPr>
      </w:pPr>
      <w:r>
        <w:rPr>
          <w:rFonts w:hint="eastAsia" w:ascii="仿宋_GB2312" w:hAnsi="仿宋_GB2312"/>
        </w:rPr>
        <w:t>（2）移动扫描测量系统测试报告；</w:t>
      </w:r>
    </w:p>
    <w:p>
      <w:pPr>
        <w:pStyle w:val="6"/>
        <w:ind w:firstLine="640"/>
        <w:rPr>
          <w:rFonts w:ascii="仿宋_GB2312" w:hAnsi="仿宋_GB2312"/>
        </w:rPr>
      </w:pPr>
      <w:r>
        <w:rPr>
          <w:rFonts w:hint="eastAsia" w:ascii="仿宋_GB2312" w:hAnsi="仿宋_GB2312"/>
        </w:rPr>
        <w:t>（3）隧道扫描高清正射图像图；</w:t>
      </w:r>
    </w:p>
    <w:p>
      <w:pPr>
        <w:pStyle w:val="6"/>
        <w:ind w:firstLine="640"/>
        <w:rPr>
          <w:rFonts w:ascii="仿宋_GB2312" w:hAnsi="仿宋_GB2312"/>
        </w:rPr>
      </w:pPr>
      <w:r>
        <w:rPr>
          <w:rFonts w:hint="eastAsia" w:ascii="仿宋_GB2312" w:hAnsi="仿宋_GB2312"/>
        </w:rPr>
        <w:t>（4）断面椭圆度成果图；</w:t>
      </w:r>
    </w:p>
    <w:p>
      <w:pPr>
        <w:pStyle w:val="6"/>
        <w:ind w:firstLine="640"/>
        <w:rPr>
          <w:rFonts w:ascii="仿宋_GB2312" w:hAnsi="仿宋_GB2312"/>
        </w:rPr>
      </w:pPr>
      <w:r>
        <w:rPr>
          <w:rFonts w:hint="eastAsia" w:ascii="仿宋_GB2312" w:hAnsi="仿宋_GB2312"/>
        </w:rPr>
        <w:t>（5）裂缝、错台情况调查报告；</w:t>
      </w:r>
    </w:p>
    <w:p>
      <w:pPr>
        <w:pStyle w:val="6"/>
        <w:ind w:firstLine="640"/>
        <w:rPr>
          <w:rFonts w:ascii="仿宋_GB2312" w:hAnsi="仿宋_GB2312"/>
        </w:rPr>
      </w:pPr>
      <w:r>
        <w:rPr>
          <w:rFonts w:hint="eastAsia" w:ascii="仿宋_GB2312" w:hAnsi="仿宋_GB2312"/>
        </w:rPr>
        <w:t>（6）掉块、渗漏水（泥）、滴水等表观病害统计及影像标注图；</w:t>
      </w:r>
    </w:p>
    <w:p>
      <w:pPr>
        <w:pStyle w:val="6"/>
        <w:ind w:firstLine="640"/>
        <w:rPr>
          <w:rFonts w:ascii="仿宋_GB2312" w:hAnsi="仿宋_GB2312"/>
        </w:rPr>
      </w:pPr>
      <w:r>
        <w:rPr>
          <w:rFonts w:hint="eastAsia" w:ascii="仿宋_GB2312" w:hAnsi="仿宋_GB2312"/>
        </w:rPr>
        <w:t>（7）全部原始数据、成果数据硬盘4份，其中1份归档用，2份日常工作用，1份作为备份；</w:t>
      </w:r>
    </w:p>
    <w:p>
      <w:pPr>
        <w:pStyle w:val="6"/>
        <w:ind w:firstLine="640"/>
        <w:rPr>
          <w:rFonts w:ascii="仿宋_GB2312" w:hAnsi="仿宋_GB2312"/>
        </w:rPr>
      </w:pPr>
      <w:r>
        <w:rPr>
          <w:rFonts w:hint="eastAsia" w:ascii="仿宋_GB2312" w:hAnsi="仿宋_GB2312"/>
        </w:rPr>
        <w:t>（8）招标方认为有必要提供的其他资料。</w:t>
      </w:r>
    </w:p>
    <w:p>
      <w:pPr>
        <w:pStyle w:val="6"/>
        <w:ind w:firstLine="640"/>
        <w:rPr>
          <w:rFonts w:ascii="仿宋_GB2312" w:hAnsi="仿宋_GB2312"/>
        </w:rPr>
      </w:pPr>
      <w:r>
        <w:rPr>
          <w:rFonts w:hint="eastAsia" w:ascii="仿宋_GB2312" w:hAnsi="仿宋_GB2312"/>
        </w:rPr>
        <w:t>15.3其他</w:t>
      </w:r>
    </w:p>
    <w:p>
      <w:pPr>
        <w:widowControl/>
        <w:ind w:firstLine="640"/>
        <w:rPr>
          <w:rFonts w:ascii="仿宋_GB2312" w:hAnsi="仿宋_GB2312"/>
        </w:rPr>
      </w:pPr>
      <w:r>
        <w:rPr>
          <w:rFonts w:hint="eastAsia" w:ascii="仿宋_GB2312" w:hAnsi="仿宋_GB2312"/>
          <w:szCs w:val="20"/>
        </w:rPr>
        <w:t>投标方提交的报告、图表、数据等资料的样式、格式应满足招标方的要求，并派专人为招标方提供后续服务，及时提供招标方需要的相关技术资料及汇报材料等，协助招标方解决各种与本项目相关的技术问题，并根据招标方要求提供可查阅的运营监测数据、三维激光扫描成果等运营期监测信息化系统平台，且该系统平台对招标方永久免费，投标方做好该系统平台更新、维护和培训工作。</w:t>
      </w:r>
    </w:p>
    <w:p>
      <w:pPr>
        <w:pStyle w:val="4"/>
        <w:ind w:firstLine="640"/>
      </w:pPr>
      <w:bookmarkStart w:id="54" w:name="_Toc15029"/>
      <w:bookmarkStart w:id="55" w:name="_Toc27857"/>
      <w:r>
        <w:rPr>
          <w:rFonts w:hint="eastAsia"/>
        </w:rPr>
        <w:t>十六、附录</w:t>
      </w:r>
      <w:bookmarkEnd w:id="54"/>
      <w:bookmarkEnd w:id="55"/>
    </w:p>
    <w:p>
      <w:pPr>
        <w:ind w:firstLine="640"/>
        <w:rPr>
          <w:rFonts w:ascii="仿宋_GB2312" w:hAnsi="仿宋_GB2312"/>
        </w:rPr>
      </w:pPr>
      <w:r>
        <w:rPr>
          <w:rFonts w:hint="eastAsia" w:ascii="仿宋_GB2312" w:hAnsi="仿宋_GB2312"/>
        </w:rPr>
        <w:t>附件1：义东线车站结构监测工程量明细</w:t>
      </w:r>
    </w:p>
    <w:p>
      <w:pPr>
        <w:ind w:firstLine="640"/>
        <w:rPr>
          <w:rFonts w:ascii="仿宋_GB2312" w:hAnsi="仿宋_GB2312"/>
        </w:rPr>
      </w:pPr>
      <w:r>
        <w:rPr>
          <w:rFonts w:hint="eastAsia" w:ascii="仿宋_GB2312" w:hAnsi="仿宋_GB2312"/>
        </w:rPr>
        <w:t>附件2：义东线区间地下结构监测工程量明细</w:t>
      </w:r>
    </w:p>
    <w:p>
      <w:pPr>
        <w:ind w:firstLine="640"/>
        <w:rPr>
          <w:rFonts w:ascii="仿宋_GB2312" w:hAnsi="仿宋_GB2312"/>
        </w:rPr>
      </w:pPr>
      <w:r>
        <w:rPr>
          <w:rFonts w:hint="eastAsia" w:ascii="仿宋_GB2312" w:hAnsi="仿宋_GB2312"/>
        </w:rPr>
        <w:t>附件3：义东线区间地上结构监测工程量明细</w:t>
      </w:r>
    </w:p>
    <w:p>
      <w:pPr>
        <w:ind w:firstLine="640"/>
        <w:rPr>
          <w:rFonts w:ascii="仿宋_GB2312" w:hAnsi="仿宋_GB2312"/>
        </w:rPr>
      </w:pPr>
      <w:r>
        <w:rPr>
          <w:rFonts w:hint="eastAsia" w:ascii="仿宋_GB2312" w:hAnsi="仿宋_GB2312"/>
        </w:rPr>
        <w:t>附件4：进场人员工作清单</w:t>
      </w:r>
    </w:p>
    <w:p>
      <w:pPr>
        <w:pStyle w:val="6"/>
        <w:ind w:firstLine="640"/>
        <w:rPr>
          <w:rFonts w:ascii="仿宋_GB2312" w:hAnsi="仿宋_GB2312"/>
        </w:rPr>
      </w:pPr>
      <w:r>
        <w:rPr>
          <w:rFonts w:hint="eastAsia" w:ascii="仿宋_GB2312" w:hAnsi="仿宋_GB2312"/>
        </w:rPr>
        <w:t>附件5：投标方设备资源、人员配备需求表</w:t>
      </w:r>
    </w:p>
    <w:p>
      <w:pPr>
        <w:pStyle w:val="6"/>
        <w:ind w:firstLine="640"/>
        <w:rPr>
          <w:rFonts w:ascii="仿宋_GB2312" w:hAnsi="仿宋_GB2312"/>
        </w:rPr>
      </w:pPr>
      <w:r>
        <w:rPr>
          <w:rFonts w:hint="eastAsia" w:ascii="仿宋_GB2312" w:hAnsi="仿宋_GB2312"/>
        </w:rPr>
        <w:t>附件6：投标方工机具配备（包含但不限于下表内容）</w:t>
      </w:r>
    </w:p>
    <w:p>
      <w:pPr>
        <w:ind w:firstLine="640"/>
        <w:rPr>
          <w:rFonts w:ascii="仿宋_GB2312" w:hAnsi="仿宋_GB2312"/>
        </w:rPr>
      </w:pPr>
      <w:r>
        <w:rPr>
          <w:rFonts w:hint="eastAsia" w:ascii="仿宋_GB2312" w:hAnsi="仿宋_GB2312"/>
        </w:rPr>
        <w:t>附件7：项目对投标方需配备的建议资质的要求</w:t>
      </w:r>
    </w:p>
    <w:p>
      <w:pPr>
        <w:pStyle w:val="6"/>
        <w:ind w:firstLine="640"/>
        <w:rPr>
          <w:rFonts w:ascii="仿宋_GB2312" w:hAnsi="仿宋_GB2312"/>
        </w:rPr>
      </w:pPr>
    </w:p>
    <w:p>
      <w:pPr>
        <w:ind w:firstLine="640"/>
        <w:rPr>
          <w:rFonts w:ascii="Times New Roman" w:hAnsi="Times New Roman" w:eastAsia="楷体" w:cs="Times New Roman"/>
          <w:szCs w:val="32"/>
        </w:rPr>
        <w:sectPr>
          <w:footerReference r:id="rId10" w:type="default"/>
          <w:pgSz w:w="11906" w:h="16838"/>
          <w:pgMar w:top="2098" w:right="1474" w:bottom="1984" w:left="1587" w:header="851" w:footer="992" w:gutter="0"/>
          <w:pgNumType w:fmt="numberInDash" w:start="1"/>
          <w:cols w:space="0" w:num="1"/>
          <w:docGrid w:type="lines" w:linePitch="440" w:charSpace="0"/>
        </w:sectPr>
      </w:pPr>
      <w:r>
        <w:rPr>
          <w:rFonts w:hint="eastAsia" w:ascii="仿宋_GB2312" w:hAnsi="仿宋_GB2312"/>
        </w:rPr>
        <w:br w:type="page"/>
      </w:r>
    </w:p>
    <w:p>
      <w:pPr>
        <w:ind w:firstLine="0" w:firstLineChars="0"/>
        <w:jc w:val="left"/>
        <w:outlineLvl w:val="0"/>
        <w:rPr>
          <w:rFonts w:ascii="黑体" w:hAnsi="黑体" w:eastAsia="黑体" w:cs="黑体"/>
          <w:szCs w:val="32"/>
        </w:rPr>
      </w:pPr>
      <w:bookmarkStart w:id="56" w:name="_Toc32151"/>
      <w:bookmarkStart w:id="57" w:name="_Toc15523"/>
      <w:bookmarkStart w:id="58" w:name="_Toc27800"/>
      <w:r>
        <w:rPr>
          <w:rFonts w:hint="eastAsia" w:ascii="黑体" w:hAnsi="黑体" w:eastAsia="黑体" w:cs="黑体"/>
          <w:szCs w:val="32"/>
        </w:rPr>
        <w:t>附件1：义东线车站情况</w:t>
      </w:r>
      <w:bookmarkEnd w:id="56"/>
      <w:bookmarkEnd w:id="57"/>
    </w:p>
    <w:p>
      <w:pPr>
        <w:ind w:firstLine="0" w:firstLineChars="0"/>
        <w:jc w:val="left"/>
        <w:rPr>
          <w:rFonts w:ascii="仿宋_GB2312" w:hAnsi="仿宋_GB2312"/>
          <w:szCs w:val="32"/>
        </w:rPr>
      </w:pPr>
      <w:r>
        <w:rPr>
          <w:rFonts w:hint="eastAsia" w:ascii="仿宋_GB2312" w:hAnsi="仿宋_GB2312"/>
          <w:szCs w:val="32"/>
        </w:rPr>
        <w:t>义东线车站结构分布情况</w:t>
      </w:r>
      <w:bookmarkEnd w:id="58"/>
    </w:p>
    <w:tbl>
      <w:tblPr>
        <w:tblStyle w:val="15"/>
        <w:tblW w:w="12967" w:type="dxa"/>
        <w:tblInd w:w="0" w:type="dxa"/>
        <w:tblLayout w:type="fixed"/>
        <w:tblCellMar>
          <w:top w:w="0" w:type="dxa"/>
          <w:left w:w="108" w:type="dxa"/>
          <w:bottom w:w="0" w:type="dxa"/>
          <w:right w:w="108" w:type="dxa"/>
        </w:tblCellMar>
      </w:tblPr>
      <w:tblGrid>
        <w:gridCol w:w="805"/>
        <w:gridCol w:w="1604"/>
        <w:gridCol w:w="2471"/>
        <w:gridCol w:w="2471"/>
        <w:gridCol w:w="2404"/>
        <w:gridCol w:w="1472"/>
        <w:gridCol w:w="1740"/>
      </w:tblGrid>
      <w:tr>
        <w:tblPrEx>
          <w:tblCellMar>
            <w:top w:w="0" w:type="dxa"/>
            <w:left w:w="108" w:type="dxa"/>
            <w:bottom w:w="0" w:type="dxa"/>
            <w:right w:w="108" w:type="dxa"/>
          </w:tblCellMar>
        </w:tblPrEx>
        <w:trPr>
          <w:trHeight w:val="288" w:hRule="atLeast"/>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车站名称</w:t>
            </w:r>
          </w:p>
        </w:tc>
        <w:tc>
          <w:tcPr>
            <w:tcW w:w="247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47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240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车站型式</w:t>
            </w:r>
          </w:p>
        </w:tc>
        <w:tc>
          <w:tcPr>
            <w:tcW w:w="147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长度（m）</w:t>
            </w:r>
          </w:p>
        </w:tc>
        <w:tc>
          <w:tcPr>
            <w:tcW w:w="17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沉降监测/点</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义乌火车站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右YDCK0+203.479</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右YDCK0+503.185</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地下二层岛式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299.7</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凌云站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右YDCK3+791.604</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右YDCK3+911.604</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春晗站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右YDCK5+858.922</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右YDCK5+978.922</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秦塘站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右YDCK8+111.647</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右YDCK8+593.687</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地下两层岛式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482.04</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18</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5</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国际商贸城站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右YDCK9+689.730</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右YDCK9+931.930</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地下一层3+3m侧式站台车站</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242.2</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浙医四院站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YDCK11+733.730</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YDCK11+950.730</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地下单层侧式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217</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7</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江东站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YDCK15+479.744</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右YDCK15+600.344</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120.6</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木雕城站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右YDCK20+295.502</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右YDCK20+415.502</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高架三层侧式车站</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歌山路站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右YDCK23+537.815</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右YDCK23+778.415</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地下两层单柱岛式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240.6</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人民路站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右YDCK25+963.798</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右YDCK26+245.598</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地下两层单柱岛式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281.8</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会展中心站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 YDCK28+227.401</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 YDCK28+347.401</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体育馆站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右YDCK30+613.436</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右YDCK30+733.436</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高架三层侧式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120</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横店高铁站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右YDCK36+803.402</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右YDCK37+147.302</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地下两层单柱岛式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344.6</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明清宫站</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YDCK44+279.244</w:t>
            </w: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YDCK44+400.444</w:t>
            </w: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路侧三层高架侧式</w:t>
            </w: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121.2</w:t>
            </w: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16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p>
        </w:tc>
        <w:tc>
          <w:tcPr>
            <w:tcW w:w="2471"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p>
        </w:tc>
        <w:tc>
          <w:tcPr>
            <w:tcW w:w="2404"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p>
        </w:tc>
        <w:tc>
          <w:tcPr>
            <w:tcW w:w="1472"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p>
        </w:tc>
        <w:tc>
          <w:tcPr>
            <w:tcW w:w="1740" w:type="dxa"/>
            <w:tcBorders>
              <w:top w:val="nil"/>
              <w:left w:val="nil"/>
              <w:bottom w:val="single" w:color="auto" w:sz="4" w:space="0"/>
              <w:right w:val="single" w:color="auto" w:sz="4" w:space="0"/>
            </w:tcBorders>
            <w:shd w:val="clear" w:color="auto" w:fill="auto"/>
            <w:vAlign w:val="center"/>
          </w:tcPr>
          <w:p>
            <w:pPr>
              <w:widowControl/>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116</w:t>
            </w:r>
          </w:p>
        </w:tc>
      </w:tr>
    </w:tbl>
    <w:p>
      <w:pPr>
        <w:pStyle w:val="6"/>
        <w:ind w:firstLine="640"/>
        <w:rPr>
          <w:rFonts w:ascii="Times New Roman" w:hAnsi="Times New Roman" w:cs="Times New Roman"/>
        </w:rPr>
      </w:pPr>
    </w:p>
    <w:p>
      <w:pPr>
        <w:pStyle w:val="6"/>
        <w:ind w:firstLine="0" w:firstLineChars="0"/>
        <w:rPr>
          <w:rFonts w:ascii="Times New Roman" w:hAnsi="Times New Roman" w:cs="Times New Roman"/>
        </w:rPr>
        <w:sectPr>
          <w:pgSz w:w="16838" w:h="11906" w:orient="landscape"/>
          <w:pgMar w:top="1587" w:right="2098" w:bottom="1474" w:left="1984" w:header="851" w:footer="992" w:gutter="0"/>
          <w:pgNumType w:fmt="numberInDash"/>
          <w:cols w:space="0" w:num="1"/>
          <w:docGrid w:type="lines" w:linePitch="440" w:charSpace="0"/>
        </w:sectPr>
      </w:pPr>
    </w:p>
    <w:p>
      <w:pPr>
        <w:pStyle w:val="6"/>
        <w:ind w:firstLine="0" w:firstLineChars="0"/>
        <w:rPr>
          <w:rFonts w:ascii="Times New Roman" w:hAnsi="Times New Roman" w:cs="Times New Roman"/>
        </w:rPr>
      </w:pPr>
      <w:r>
        <w:rPr>
          <w:rFonts w:ascii="Times New Roman" w:hAnsi="Times New Roman" w:cs="Times New Roman"/>
        </w:rPr>
        <w:t>义</w:t>
      </w:r>
      <w:r>
        <w:rPr>
          <w:rFonts w:hint="eastAsia" w:ascii="Times New Roman" w:hAnsi="Times New Roman" w:cs="Times New Roman"/>
        </w:rPr>
        <w:t>东</w:t>
      </w:r>
      <w:r>
        <w:rPr>
          <w:rFonts w:ascii="Times New Roman" w:hAnsi="Times New Roman" w:cs="Times New Roman"/>
        </w:rPr>
        <w:t>线差异沉降监测点布设情况</w:t>
      </w:r>
    </w:p>
    <w:tbl>
      <w:tblPr>
        <w:tblStyle w:val="15"/>
        <w:tblW w:w="9061" w:type="dxa"/>
        <w:tblInd w:w="0" w:type="dxa"/>
        <w:tblLayout w:type="fixed"/>
        <w:tblCellMar>
          <w:top w:w="0" w:type="dxa"/>
          <w:left w:w="108" w:type="dxa"/>
          <w:bottom w:w="0" w:type="dxa"/>
          <w:right w:w="108" w:type="dxa"/>
        </w:tblCellMar>
      </w:tblPr>
      <w:tblGrid>
        <w:gridCol w:w="1420"/>
        <w:gridCol w:w="5716"/>
        <w:gridCol w:w="1925"/>
      </w:tblGrid>
      <w:tr>
        <w:tblPrEx>
          <w:tblCellMar>
            <w:top w:w="0" w:type="dxa"/>
            <w:left w:w="108" w:type="dxa"/>
            <w:bottom w:w="0" w:type="dxa"/>
            <w:right w:w="108" w:type="dxa"/>
          </w:tblCellMar>
        </w:tblPrEx>
        <w:trPr>
          <w:cantSplit/>
          <w:trHeight w:val="272" w:hRule="atLeast"/>
        </w:trPr>
        <w:tc>
          <w:tcPr>
            <w:tcW w:w="14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5716" w:type="dxa"/>
            <w:tcBorders>
              <w:top w:val="single" w:color="auto" w:sz="4" w:space="0"/>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区间</w:t>
            </w:r>
          </w:p>
        </w:tc>
        <w:tc>
          <w:tcPr>
            <w:tcW w:w="1925" w:type="dxa"/>
            <w:tcBorders>
              <w:top w:val="single" w:color="auto" w:sz="4" w:space="0"/>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监测点个数</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义乌火车站-凌云站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春晗站-秦塘站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浙医四院站-江东站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木雕城站站-歌山路站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人民路站-会展中心站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90"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义乌火车站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凌云站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春晗站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秦塘站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国际商贸城站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浙医四院站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江东路站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木雕城站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歌山路站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人民路站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会展中心站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横店高铁站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明清宫站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148</w:t>
            </w:r>
          </w:p>
        </w:tc>
      </w:tr>
    </w:tbl>
    <w:p>
      <w:pPr>
        <w:pStyle w:val="6"/>
        <w:ind w:firstLine="0" w:firstLineChars="0"/>
        <w:rPr>
          <w:rFonts w:ascii="Times New Roman" w:hAnsi="Times New Roman" w:cs="Times New Roman"/>
        </w:rPr>
        <w:sectPr>
          <w:pgSz w:w="11906" w:h="16838"/>
          <w:pgMar w:top="2098" w:right="1474" w:bottom="1984" w:left="1587" w:header="851" w:footer="992" w:gutter="0"/>
          <w:pgNumType w:fmt="numberInDash"/>
          <w:cols w:space="0" w:num="1"/>
          <w:docGrid w:type="lines" w:linePitch="440" w:charSpace="0"/>
        </w:sectPr>
      </w:pPr>
    </w:p>
    <w:p>
      <w:pPr>
        <w:widowControl/>
        <w:spacing w:line="240" w:lineRule="auto"/>
        <w:ind w:firstLine="0" w:firstLineChars="0"/>
        <w:jc w:val="left"/>
        <w:outlineLvl w:val="0"/>
        <w:rPr>
          <w:rFonts w:ascii="黑体" w:hAnsi="黑体" w:eastAsia="黑体" w:cs="黑体"/>
          <w:szCs w:val="32"/>
        </w:rPr>
      </w:pPr>
      <w:bookmarkStart w:id="59" w:name="_Toc464"/>
      <w:bookmarkStart w:id="60" w:name="_Toc16824"/>
      <w:bookmarkStart w:id="61" w:name="_Toc5276"/>
      <w:r>
        <w:rPr>
          <w:rFonts w:hint="eastAsia" w:ascii="黑体" w:hAnsi="黑体" w:eastAsia="黑体" w:cs="黑体"/>
          <w:szCs w:val="32"/>
        </w:rPr>
        <w:t>附件2：义东线区间情况</w:t>
      </w:r>
      <w:bookmarkEnd w:id="59"/>
      <w:bookmarkEnd w:id="60"/>
    </w:p>
    <w:p>
      <w:pPr>
        <w:ind w:firstLine="0" w:firstLineChars="0"/>
        <w:jc w:val="left"/>
        <w:rPr>
          <w:rFonts w:ascii="Times New Roman" w:hAnsi="Times New Roman" w:cs="Times New Roman"/>
          <w:szCs w:val="32"/>
        </w:rPr>
      </w:pPr>
      <w:r>
        <w:rPr>
          <w:rFonts w:ascii="Times New Roman" w:hAnsi="Times New Roman" w:cs="Times New Roman"/>
          <w:szCs w:val="32"/>
        </w:rPr>
        <w:t>盾构</w:t>
      </w:r>
      <w:r>
        <w:rPr>
          <w:rFonts w:hint="eastAsia" w:ascii="Times New Roman" w:hAnsi="Times New Roman" w:cs="Times New Roman"/>
          <w:szCs w:val="32"/>
        </w:rPr>
        <w:t>/矿山法</w:t>
      </w:r>
      <w:r>
        <w:rPr>
          <w:rFonts w:ascii="Times New Roman" w:hAnsi="Times New Roman" w:cs="Times New Roman"/>
          <w:szCs w:val="32"/>
        </w:rPr>
        <w:t>结构分布情况</w:t>
      </w:r>
      <w:bookmarkEnd w:id="61"/>
      <w:r>
        <w:rPr>
          <w:rFonts w:ascii="Times New Roman" w:hAnsi="Times New Roman" w:cs="Times New Roman"/>
          <w:szCs w:val="32"/>
        </w:rPr>
        <w:t>（右线）</w:t>
      </w:r>
    </w:p>
    <w:tbl>
      <w:tblPr>
        <w:tblStyle w:val="15"/>
        <w:tblW w:w="12967" w:type="dxa"/>
        <w:tblInd w:w="0" w:type="dxa"/>
        <w:tblLayout w:type="fixed"/>
        <w:tblCellMar>
          <w:top w:w="0" w:type="dxa"/>
          <w:left w:w="108" w:type="dxa"/>
          <w:bottom w:w="0" w:type="dxa"/>
          <w:right w:w="108" w:type="dxa"/>
        </w:tblCellMar>
      </w:tblPr>
      <w:tblGrid>
        <w:gridCol w:w="659"/>
        <w:gridCol w:w="2453"/>
        <w:gridCol w:w="2100"/>
        <w:gridCol w:w="2087"/>
        <w:gridCol w:w="1325"/>
        <w:gridCol w:w="970"/>
        <w:gridCol w:w="885"/>
        <w:gridCol w:w="745"/>
        <w:gridCol w:w="776"/>
        <w:gridCol w:w="967"/>
      </w:tblGrid>
      <w:tr>
        <w:tblPrEx>
          <w:tblCellMar>
            <w:top w:w="0" w:type="dxa"/>
            <w:left w:w="108" w:type="dxa"/>
            <w:bottom w:w="0" w:type="dxa"/>
            <w:right w:w="108" w:type="dxa"/>
          </w:tblCellMar>
        </w:tblPrEx>
        <w:trPr>
          <w:trHeight w:val="288"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2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区间</w:t>
            </w:r>
          </w:p>
        </w:tc>
        <w:tc>
          <w:tcPr>
            <w:tcW w:w="2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盾构/矿山法长度（m）</w:t>
            </w: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结构型式</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道床沉降监测/点</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水平收敛/组</w:t>
            </w:r>
          </w:p>
        </w:tc>
        <w:tc>
          <w:tcPr>
            <w:tcW w:w="1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联络通道/泵房</w:t>
            </w:r>
          </w:p>
        </w:tc>
      </w:tr>
      <w:tr>
        <w:tblPrEx>
          <w:tblCellMar>
            <w:top w:w="0" w:type="dxa"/>
            <w:left w:w="108" w:type="dxa"/>
            <w:bottom w:w="0" w:type="dxa"/>
            <w:right w:w="108" w:type="dxa"/>
          </w:tblCellMar>
        </w:tblPrEx>
        <w:trPr>
          <w:trHeight w:val="444"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2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2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个数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差异沉降监测点</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春晗站～秦塘站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右YDCK7+106.865</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右DCK8+112.447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1005.582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84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42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秦塘站～国际商贸城站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右YDCK8+417.947</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右YDCK9+069.315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651.568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54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27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客运中心站～八华南路站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YDCK22+840.800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右YDCK23+537.815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697.015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58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29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85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木雕城站～歌山路站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右YDCK23+777.615</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YDCK25+964.598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2186.983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182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91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w:t>
            </w:r>
          </w:p>
        </w:tc>
      </w:tr>
      <w:tr>
        <w:tblPrEx>
          <w:tblCellMar>
            <w:top w:w="0" w:type="dxa"/>
            <w:left w:w="108" w:type="dxa"/>
            <w:bottom w:w="0" w:type="dxa"/>
            <w:right w:w="108" w:type="dxa"/>
          </w:tblCellMar>
        </w:tblPrEx>
        <w:trPr>
          <w:trHeight w:val="9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人民路站～会展中心站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右YDCK26+244.798</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右YDCK27+167.800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923.002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77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38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体育馆站～东阳横店高铁站（矿山法）</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右YDCK34+034.500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YDCK35+848.000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1813.5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151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76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16</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东阳横店高铁站～明清宫站（矿山法）</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右YDCK38+157.000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YDCK38+794.500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637.5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53 </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27 </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16</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东阳横店高铁站～明清宫站（矿山法）</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右YDCK42+374.00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YDCK42+465.00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右YDCK42+594.0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YDCK44+075.629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1481.629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123</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槐堂停车场出入段线</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850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10337.779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791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430</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56</w:t>
            </w:r>
          </w:p>
        </w:tc>
      </w:tr>
    </w:tbl>
    <w:p>
      <w:pPr>
        <w:ind w:firstLine="640"/>
      </w:pPr>
      <w:r>
        <w:br w:type="page"/>
      </w:r>
    </w:p>
    <w:p>
      <w:pPr>
        <w:pStyle w:val="6"/>
        <w:ind w:firstLine="0" w:firstLineChars="0"/>
        <w:rPr>
          <w:rFonts w:ascii="Times New Roman" w:hAnsi="Times New Roman" w:cs="Times New Roman"/>
        </w:rPr>
      </w:pPr>
      <w:r>
        <w:rPr>
          <w:rFonts w:ascii="Times New Roman" w:hAnsi="Times New Roman" w:cs="Times New Roman"/>
          <w:szCs w:val="32"/>
        </w:rPr>
        <w:t>盾构</w:t>
      </w:r>
      <w:r>
        <w:rPr>
          <w:rFonts w:hint="eastAsia" w:ascii="Times New Roman" w:hAnsi="Times New Roman" w:cs="Times New Roman"/>
          <w:szCs w:val="32"/>
        </w:rPr>
        <w:t>/矿山法</w:t>
      </w:r>
      <w:r>
        <w:rPr>
          <w:rFonts w:ascii="Times New Roman" w:hAnsi="Times New Roman" w:cs="Times New Roman"/>
          <w:szCs w:val="32"/>
        </w:rPr>
        <w:t>结构分布情况（左线）</w:t>
      </w:r>
    </w:p>
    <w:tbl>
      <w:tblPr>
        <w:tblStyle w:val="15"/>
        <w:tblW w:w="12962" w:type="dxa"/>
        <w:tblInd w:w="0" w:type="dxa"/>
        <w:tblLayout w:type="fixed"/>
        <w:tblCellMar>
          <w:top w:w="0" w:type="dxa"/>
          <w:left w:w="108" w:type="dxa"/>
          <w:bottom w:w="0" w:type="dxa"/>
          <w:right w:w="108" w:type="dxa"/>
        </w:tblCellMar>
      </w:tblPr>
      <w:tblGrid>
        <w:gridCol w:w="659"/>
        <w:gridCol w:w="2565"/>
        <w:gridCol w:w="1988"/>
        <w:gridCol w:w="2087"/>
        <w:gridCol w:w="1650"/>
        <w:gridCol w:w="1200"/>
        <w:gridCol w:w="1250"/>
        <w:gridCol w:w="1563"/>
      </w:tblGrid>
      <w:tr>
        <w:tblPrEx>
          <w:tblCellMar>
            <w:top w:w="0" w:type="dxa"/>
            <w:left w:w="108" w:type="dxa"/>
            <w:bottom w:w="0" w:type="dxa"/>
            <w:right w:w="108" w:type="dxa"/>
          </w:tblCellMar>
        </w:tblPrEx>
        <w:trPr>
          <w:trHeight w:val="440"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2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区间</w:t>
            </w:r>
          </w:p>
        </w:tc>
        <w:tc>
          <w:tcPr>
            <w:tcW w:w="1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盾构长度（m）</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结构型式</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道床沉降监测/点</w:t>
            </w:r>
          </w:p>
        </w:tc>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水平收敛/组</w:t>
            </w:r>
          </w:p>
        </w:tc>
      </w:tr>
      <w:tr>
        <w:tblPrEx>
          <w:tblCellMar>
            <w:top w:w="0" w:type="dxa"/>
            <w:left w:w="108" w:type="dxa"/>
            <w:bottom w:w="0" w:type="dxa"/>
            <w:right w:w="108" w:type="dxa"/>
          </w:tblCellMar>
        </w:tblPrEx>
        <w:trPr>
          <w:trHeight w:val="444"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2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2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春晗站～秦塘站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右YDCK7+106.865</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右DCK8+112.447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1005.582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84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42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秦塘站～国际商贸城站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左YDCK8+417.947</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左YDCK9+093.903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676.156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56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28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客运中心站～八华南路站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YDCK22+840.800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右YDCK23+537.815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697.015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58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29 </w:t>
            </w:r>
          </w:p>
        </w:tc>
      </w:tr>
      <w:tr>
        <w:tblPrEx>
          <w:tblCellMar>
            <w:top w:w="0" w:type="dxa"/>
            <w:left w:w="108" w:type="dxa"/>
            <w:bottom w:w="0" w:type="dxa"/>
            <w:right w:w="108" w:type="dxa"/>
          </w:tblCellMar>
        </w:tblPrEx>
        <w:trPr>
          <w:trHeight w:val="56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木雕城站～歌山路站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右YDCK23+777.615</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YDCK25+964.598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2186.983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182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91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人民路站～会展中心站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右YDCK26+244.798</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右YDCK27+167.800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923.002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77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38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体育馆站～东阳横店高铁站（矿山法）</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右YDCK34+034.500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YDCK35+848.000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1813.5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151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76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东阳横店高铁站～明清宫站（矿山法）</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右YDCK38+157.000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YDCK38+794.500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637.5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53 </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27 </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东阳横店高铁站～明清宫站（矿山法）</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右YDCK42+374.00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YDCK42+465.00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右YDCK42+594.0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YDCK44+075.629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1481.629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盾构</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123</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 xml:space="preserve"> 62</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槐堂停车场出入段线</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850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矿山法</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35</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10362.367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791</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rPr>
              <w:t>430</w:t>
            </w:r>
          </w:p>
        </w:tc>
      </w:tr>
    </w:tbl>
    <w:p>
      <w:pPr>
        <w:ind w:firstLine="640"/>
        <w:rPr>
          <w:rFonts w:ascii="Times New Roman" w:hAnsi="Times New Roman" w:cs="Times New Roman"/>
          <w:szCs w:val="32"/>
        </w:rPr>
      </w:pPr>
      <w:r>
        <w:rPr>
          <w:rFonts w:ascii="Times New Roman" w:hAnsi="Times New Roman" w:cs="Times New Roman"/>
          <w:szCs w:val="32"/>
        </w:rPr>
        <w:br w:type="page"/>
      </w:r>
    </w:p>
    <w:p>
      <w:pPr>
        <w:pStyle w:val="6"/>
        <w:ind w:firstLine="0" w:firstLineChars="0"/>
        <w:rPr>
          <w:rFonts w:ascii="Times New Roman" w:hAnsi="Times New Roman" w:cs="Times New Roman"/>
        </w:rPr>
      </w:pPr>
      <w:r>
        <w:rPr>
          <w:rFonts w:ascii="Times New Roman" w:hAnsi="Times New Roman" w:cs="Times New Roman"/>
          <w:szCs w:val="32"/>
        </w:rPr>
        <w:t>明挖结构分布情况（右线）</w:t>
      </w:r>
    </w:p>
    <w:tbl>
      <w:tblPr>
        <w:tblStyle w:val="15"/>
        <w:tblW w:w="13124" w:type="dxa"/>
        <w:tblInd w:w="0" w:type="dxa"/>
        <w:tblLayout w:type="fixed"/>
        <w:tblCellMar>
          <w:top w:w="0" w:type="dxa"/>
          <w:left w:w="108" w:type="dxa"/>
          <w:bottom w:w="0" w:type="dxa"/>
          <w:right w:w="108" w:type="dxa"/>
        </w:tblCellMar>
      </w:tblPr>
      <w:tblGrid>
        <w:gridCol w:w="830"/>
        <w:gridCol w:w="3123"/>
        <w:gridCol w:w="2302"/>
        <w:gridCol w:w="2244"/>
        <w:gridCol w:w="1256"/>
        <w:gridCol w:w="889"/>
        <w:gridCol w:w="772"/>
        <w:gridCol w:w="1708"/>
      </w:tblGrid>
      <w:tr>
        <w:tblPrEx>
          <w:tblCellMar>
            <w:top w:w="0" w:type="dxa"/>
            <w:left w:w="108" w:type="dxa"/>
            <w:bottom w:w="0" w:type="dxa"/>
            <w:right w:w="108" w:type="dxa"/>
          </w:tblCellMar>
        </w:tblPrEx>
        <w:trPr>
          <w:trHeight w:val="365" w:hRule="atLeast"/>
        </w:trPr>
        <w:tc>
          <w:tcPr>
            <w:tcW w:w="83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312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车站名称</w:t>
            </w:r>
          </w:p>
        </w:tc>
        <w:tc>
          <w:tcPr>
            <w:tcW w:w="2302"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244"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125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长度（m）</w:t>
            </w:r>
          </w:p>
        </w:tc>
        <w:tc>
          <w:tcPr>
            <w:tcW w:w="889"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沉降点</w:t>
            </w:r>
          </w:p>
        </w:tc>
        <w:tc>
          <w:tcPr>
            <w:tcW w:w="24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联络通道/泵房</w:t>
            </w:r>
          </w:p>
        </w:tc>
      </w:tr>
      <w:tr>
        <w:tblPrEx>
          <w:tblCellMar>
            <w:top w:w="0" w:type="dxa"/>
            <w:left w:w="108" w:type="dxa"/>
            <w:bottom w:w="0" w:type="dxa"/>
            <w:right w:w="108" w:type="dxa"/>
          </w:tblCellMar>
        </w:tblPrEx>
        <w:trPr>
          <w:trHeight w:val="505" w:hRule="atLeast"/>
        </w:trPr>
        <w:tc>
          <w:tcPr>
            <w:tcW w:w="830"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3123"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302"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244"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125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889"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个数</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差异沉降监测点</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出入场线U型槽（含）~义乌火车站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右RCK0+54.10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右RCK0+412.000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357.9</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12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义乌火车站～凌云站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右YDCK0+503.185</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右YDCK0+883.383</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380.198</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13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春晗站～秦塘站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右CK6+675.992</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右CK7+093.565</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417.6</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14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31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秦塘站～国际商贸城站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右YDCK9+083.115</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右YDCK9+689.730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606.715</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20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31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国际商贸城站～浙医四院站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右YDCK9+931.930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右YDCK11+733.730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1801.8</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60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浙医四院站~江东路站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右YDCK11+950.730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右YDCK12+530.589</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579.859</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19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木雕城站～歌山路站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右YDCK22+566.900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右YDCK22+840.800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273.9</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9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人民路站～会展中心站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YDCK27+167.000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AK27+560.000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393</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13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右YDCK34+019.500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YDCK34+034.500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右YDCK35+848.000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YDCK35+863.000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右YDCK35+863.000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YDCK36+803.302</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940.302</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31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894"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右YDCK37+147.302</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YDCK38+157.000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1009.698</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34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5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右YDCK38+794.500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YDCK38+809.500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r>
      <w:tr>
        <w:tblPrEx>
          <w:tblCellMar>
            <w:top w:w="0" w:type="dxa"/>
            <w:left w:w="108" w:type="dxa"/>
            <w:bottom w:w="0" w:type="dxa"/>
            <w:right w:w="108" w:type="dxa"/>
          </w:tblCellMar>
        </w:tblPrEx>
        <w:trPr>
          <w:trHeight w:val="46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右YDCK42+465.00</w:t>
            </w: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右YDCK42+594.00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129</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p>
        </w:tc>
      </w:tr>
      <w:tr>
        <w:tblPrEx>
          <w:tblCellMar>
            <w:top w:w="0" w:type="dxa"/>
            <w:left w:w="108" w:type="dxa"/>
            <w:bottom w:w="0" w:type="dxa"/>
            <w:right w:w="108" w:type="dxa"/>
          </w:tblCellMar>
        </w:tblPrEx>
        <w:trPr>
          <w:trHeight w:val="462" w:hRule="atLeast"/>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3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6939.972</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231</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r>
    </w:tbl>
    <w:p>
      <w:pPr>
        <w:pStyle w:val="6"/>
        <w:ind w:firstLine="0" w:firstLineChars="0"/>
        <w:rPr>
          <w:rFonts w:ascii="Times New Roman" w:hAnsi="Times New Roman" w:cs="Times New Roman"/>
        </w:rPr>
      </w:pPr>
      <w:r>
        <w:rPr>
          <w:rFonts w:ascii="Times New Roman" w:hAnsi="Times New Roman" w:cs="Times New Roman"/>
          <w:szCs w:val="32"/>
        </w:rPr>
        <w:t>明挖结构分布情况（左线）</w:t>
      </w:r>
    </w:p>
    <w:tbl>
      <w:tblPr>
        <w:tblStyle w:val="15"/>
        <w:tblW w:w="12972" w:type="dxa"/>
        <w:tblInd w:w="0" w:type="dxa"/>
        <w:tblLayout w:type="fixed"/>
        <w:tblCellMar>
          <w:top w:w="0" w:type="dxa"/>
          <w:left w:w="108" w:type="dxa"/>
          <w:bottom w:w="0" w:type="dxa"/>
          <w:right w:w="108" w:type="dxa"/>
        </w:tblCellMar>
      </w:tblPr>
      <w:tblGrid>
        <w:gridCol w:w="899"/>
        <w:gridCol w:w="3392"/>
        <w:gridCol w:w="2478"/>
        <w:gridCol w:w="2428"/>
        <w:gridCol w:w="2428"/>
        <w:gridCol w:w="1347"/>
      </w:tblGrid>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bookmarkStart w:id="62" w:name="_Toc24313"/>
            <w:r>
              <w:rPr>
                <w:rFonts w:hint="eastAsia" w:ascii="宋体" w:hAnsi="宋体" w:eastAsia="宋体" w:cs="宋体"/>
                <w:kern w:val="0"/>
                <w:sz w:val="21"/>
                <w:szCs w:val="21"/>
              </w:rPr>
              <w:t>序号</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车站名称</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长度（m）</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沉降点</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出入场线U型槽（含）~义乌火车站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左RCK0+54.10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左RCK0+412.000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357.9</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12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义乌火车站～凌云站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左YDCK0+503.185</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左YDCK0+883.383</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380.198</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13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春晗站～秦塘站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右CK6+675.992</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右CK7+093.565</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417.6</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14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339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秦塘站～国际商贸城站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左YDCK9+107.703</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左YDCK9+689.730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611.291</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20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339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国际商贸城站～浙医四院站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右YDCK9+931.930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右YDCK11+733.730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1801.8</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60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浙医四院站~江东路站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左YDCK11+950.730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左YDCK12+530.589</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579.859</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19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木雕城站～歌山路站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右YDCK22+566.900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右YDCK22+840.800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273.9</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9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人民路站～会展中心站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YDCK27+167.000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AK27+560.000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393</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13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右YDCK34+019.500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YDCK34+034.500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右YDCK35+848.000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YDCK35+863.000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体育馆站～东阳横店高铁站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右YDCK35+863.000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YDCK36+803.302</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940.302</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31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右YDCK37+147.302</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YDCK38+157.000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1009.698</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34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右YDCK38+794.500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YDCK38+809.500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 </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东阳横店高铁站～明清宫站</w:t>
            </w: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右YDCK42+465.00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右YDCK42+594.00</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129</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trHeight w:val="28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33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6939.548</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231</w:t>
            </w:r>
          </w:p>
        </w:tc>
      </w:tr>
    </w:tbl>
    <w:p>
      <w:pPr>
        <w:widowControl/>
        <w:spacing w:line="240" w:lineRule="auto"/>
        <w:ind w:firstLine="0" w:firstLineChars="0"/>
        <w:jc w:val="left"/>
        <w:outlineLvl w:val="0"/>
        <w:rPr>
          <w:rFonts w:ascii="Times New Roman" w:hAnsi="Times New Roman" w:cs="Times New Roman"/>
          <w:szCs w:val="32"/>
        </w:rPr>
      </w:pPr>
      <w:r>
        <w:rPr>
          <w:rFonts w:ascii="Times New Roman" w:hAnsi="Times New Roman" w:cs="Times New Roman"/>
          <w:szCs w:val="32"/>
        </w:rPr>
        <w:br w:type="page"/>
      </w:r>
      <w:bookmarkStart w:id="63" w:name="_Toc9720"/>
      <w:bookmarkStart w:id="64" w:name="_Toc22683"/>
      <w:r>
        <w:rPr>
          <w:rFonts w:hint="eastAsia" w:ascii="黑体" w:hAnsi="黑体" w:eastAsia="黑体" w:cs="黑体"/>
          <w:szCs w:val="32"/>
        </w:rPr>
        <w:t>附件3：义东线区间桥梁分布情况</w:t>
      </w:r>
      <w:bookmarkEnd w:id="62"/>
      <w:bookmarkEnd w:id="63"/>
      <w:bookmarkEnd w:id="64"/>
    </w:p>
    <w:tbl>
      <w:tblPr>
        <w:tblStyle w:val="15"/>
        <w:tblW w:w="13005" w:type="dxa"/>
        <w:jc w:val="center"/>
        <w:tblLayout w:type="fixed"/>
        <w:tblCellMar>
          <w:top w:w="0" w:type="dxa"/>
          <w:left w:w="108" w:type="dxa"/>
          <w:bottom w:w="0" w:type="dxa"/>
          <w:right w:w="108" w:type="dxa"/>
        </w:tblCellMar>
      </w:tblPr>
      <w:tblGrid>
        <w:gridCol w:w="515"/>
        <w:gridCol w:w="2582"/>
        <w:gridCol w:w="3225"/>
        <w:gridCol w:w="1039"/>
        <w:gridCol w:w="3230"/>
        <w:gridCol w:w="1063"/>
        <w:gridCol w:w="1351"/>
      </w:tblGrid>
      <w:tr>
        <w:tblPrEx>
          <w:tblCellMar>
            <w:top w:w="0" w:type="dxa"/>
            <w:left w:w="108" w:type="dxa"/>
            <w:bottom w:w="0" w:type="dxa"/>
            <w:right w:w="108" w:type="dxa"/>
          </w:tblCellMar>
        </w:tblPrEx>
        <w:trPr>
          <w:trHeight w:val="445" w:hRule="exac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rPr>
              <w:t>序号</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rPr>
              <w:t>高架区间</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80"/>
              <w:jc w:val="center"/>
              <w:textAlignment w:val="center"/>
              <w:rPr>
                <w:rFonts w:ascii="宋体" w:hAnsi="宋体" w:eastAsia="宋体" w:cs="宋体"/>
                <w:sz w:val="24"/>
                <w:szCs w:val="24"/>
              </w:rPr>
            </w:pPr>
            <w:r>
              <w:rPr>
                <w:rFonts w:hint="eastAsia" w:ascii="宋体" w:hAnsi="宋体" w:eastAsia="宋体" w:cs="宋体"/>
                <w:kern w:val="0"/>
                <w:sz w:val="24"/>
                <w:szCs w:val="24"/>
              </w:rPr>
              <w:t>设计里程</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rPr>
              <w:t>桥长（m）</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80"/>
              <w:jc w:val="center"/>
              <w:textAlignment w:val="center"/>
              <w:rPr>
                <w:rFonts w:ascii="宋体" w:hAnsi="宋体" w:eastAsia="宋体" w:cs="宋体"/>
                <w:sz w:val="24"/>
                <w:szCs w:val="24"/>
              </w:rPr>
            </w:pPr>
            <w:r>
              <w:rPr>
                <w:rFonts w:hint="eastAsia" w:ascii="宋体" w:hAnsi="宋体" w:eastAsia="宋体" w:cs="宋体"/>
                <w:kern w:val="0"/>
                <w:sz w:val="24"/>
                <w:szCs w:val="24"/>
              </w:rPr>
              <w:t>梁型号</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rPr>
              <w:t>孔跨数</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rPr>
              <w:t>桥跨监测点</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义乌火车站-凌云站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YDCK00+883.383~ YDCK03+791.604</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2908.221</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17</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支架30+2*40+30连续梁-1联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支架30+50+30连续梁-2联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支架30+2*50+30连续梁-1联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悬臂浇筑40+70+40连续梁-1联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凌云站-春晗站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YDCK03+911.604~ YDCK05+858.922</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1947.318</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29</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174</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支架30+50+30连续梁-2联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支架30+50+50+30连续梁-1联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悬臂浇筑50+80+50连续梁-1联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春晗站-秦塘站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YDCK05+978.922~ YDCK06+675.992</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697.07</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72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支架30+50+30连续梁-1联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浙医四院站-江东站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YDCK12+530.589~YDCK15+480.615</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2950.026</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72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支架30+50+30连续梁-2联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支架40+60+40连续梁-2联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悬臂浇筑60+100+60连续梁-1联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（25+64+25）m 梁拱组合</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江东站-甬金高速分界点</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YDCK15+601.215~YDCK17+847.973</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2246.758</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57</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342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支架40+60+40连续梁-1联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悬臂浇筑30+50+30连续梁-1联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64m 简支钢桁梁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甬金高速分界点-木雕城站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CK17+847.973～CK20+295.902</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2447.929</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60</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348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悬臂浇筑50+80+50连续梁-1联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节段4*35m连续梁-1联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7</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木雕城站站-歌山路站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CK20+415.502～CK22+489.902</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2074.4</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270</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9</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54</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悬臂浇筑50+80+50连续梁-1联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节段29.4+50+80+50m连续梁-1联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8</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人民路站-会展中心站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CK27+657.4～CK28+227.401</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570.001</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72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w:t>
            </w:r>
          </w:p>
        </w:tc>
      </w:tr>
      <w:tr>
        <w:tblPrEx>
          <w:tblCellMar>
            <w:top w:w="0" w:type="dxa"/>
            <w:left w:w="108" w:type="dxa"/>
            <w:bottom w:w="0" w:type="dxa"/>
            <w:right w:w="108" w:type="dxa"/>
          </w:tblCellMar>
        </w:tblPrEx>
        <w:trPr>
          <w:trHeight w:val="397"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30+50+30双线连续梁-1联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97"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9</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会展中心站-体育馆站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left"/>
              <w:textAlignment w:val="center"/>
              <w:rPr>
                <w:rFonts w:ascii="宋体" w:hAnsi="宋体" w:eastAsia="宋体" w:cs="宋体"/>
                <w:kern w:val="0"/>
                <w:sz w:val="22"/>
              </w:rPr>
            </w:pPr>
            <w:r>
              <w:rPr>
                <w:rFonts w:hint="eastAsia" w:ascii="宋体" w:hAnsi="宋体" w:eastAsia="宋体" w:cs="宋体"/>
                <w:kern w:val="0"/>
                <w:sz w:val="22"/>
              </w:rPr>
              <w:t>CK28+347.401～右K30+613.436</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left"/>
              <w:textAlignment w:val="center"/>
              <w:rPr>
                <w:rFonts w:ascii="宋体" w:hAnsi="宋体" w:eastAsia="宋体" w:cs="宋体"/>
                <w:kern w:val="0"/>
                <w:sz w:val="22"/>
              </w:rPr>
            </w:pPr>
            <w:r>
              <w:rPr>
                <w:rFonts w:hint="eastAsia" w:ascii="宋体" w:hAnsi="宋体" w:eastAsia="宋体" w:cs="宋体"/>
                <w:kern w:val="0"/>
                <w:sz w:val="22"/>
              </w:rPr>
              <w:t>2266.035</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预制25m双线简支梁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24</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预制30m双线简支梁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90</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预制35m双线简支梁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现浇25m双线简支梁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48</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现浇30m双线简支梁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34</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204</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30+50+30m连续梁-2联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36</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节段4*35m连续梁-1联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体育馆站-东阳横店高铁站</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CK30+733.436～CK33+640.636</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2907.2</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30m单线简支梁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108</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24</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69</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414</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悬臂浇筑50+80+50连续梁-1联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26</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悬臂浇筑40+70+40连续梁-1联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40+60+40连续梁-1联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4*35连续梁-1联</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11</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东阳横店高铁站-明清宫</w:t>
            </w:r>
          </w:p>
        </w:tc>
        <w:tc>
          <w:tcPr>
            <w:tcW w:w="3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CK38+809.5～右CK42+351.7</w:t>
            </w:r>
          </w:p>
          <w:p>
            <w:pPr>
              <w:widowControl/>
              <w:spacing w:line="240" w:lineRule="auto"/>
              <w:ind w:firstLine="0" w:firstLineChars="0"/>
              <w:jc w:val="center"/>
              <w:textAlignment w:val="center"/>
              <w:rPr>
                <w:rFonts w:ascii="宋体" w:hAnsi="宋体" w:eastAsia="宋体" w:cs="宋体"/>
                <w:kern w:val="0"/>
                <w:sz w:val="22"/>
              </w:rPr>
            </w:pP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3542.2</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120</w:t>
            </w:r>
          </w:p>
        </w:tc>
      </w:tr>
      <w:tr>
        <w:tblPrEx>
          <w:tblCellMar>
            <w:top w:w="0" w:type="dxa"/>
            <w:left w:w="108" w:type="dxa"/>
            <w:bottom w:w="0" w:type="dxa"/>
            <w:right w:w="108" w:type="dxa"/>
          </w:tblCellMar>
        </w:tblPrEx>
        <w:trPr>
          <w:trHeight w:val="340" w:hRule="exact"/>
          <w:jc w:val="center"/>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606</w:t>
            </w:r>
          </w:p>
        </w:tc>
      </w:tr>
      <w:tr>
        <w:tblPrEx>
          <w:tblCellMar>
            <w:top w:w="0" w:type="dxa"/>
            <w:left w:w="108" w:type="dxa"/>
            <w:bottom w:w="0" w:type="dxa"/>
            <w:right w:w="108" w:type="dxa"/>
          </w:tblCellMar>
        </w:tblPrEx>
        <w:trPr>
          <w:trHeight w:val="340" w:hRule="exact"/>
          <w:jc w:val="center"/>
        </w:trPr>
        <w:tc>
          <w:tcPr>
            <w:tcW w:w="51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12</w:t>
            </w:r>
          </w:p>
        </w:tc>
        <w:tc>
          <w:tcPr>
            <w:tcW w:w="2582"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后宅停车场出入段线</w:t>
            </w:r>
          </w:p>
        </w:tc>
        <w:tc>
          <w:tcPr>
            <w:tcW w:w="3225"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RCK0+473.27～RCK1+171.33</w:t>
            </w:r>
          </w:p>
        </w:tc>
        <w:tc>
          <w:tcPr>
            <w:tcW w:w="1039"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698.06</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96</w:t>
            </w:r>
          </w:p>
        </w:tc>
      </w:tr>
      <w:tr>
        <w:tblPrEx>
          <w:tblCellMar>
            <w:top w:w="0" w:type="dxa"/>
            <w:left w:w="108" w:type="dxa"/>
            <w:bottom w:w="0" w:type="dxa"/>
            <w:right w:w="108" w:type="dxa"/>
          </w:tblCellMar>
        </w:tblPrEx>
        <w:trPr>
          <w:trHeight w:val="340" w:hRule="exact"/>
          <w:jc w:val="center"/>
        </w:trPr>
        <w:tc>
          <w:tcPr>
            <w:tcW w:w="5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w:t>
            </w:r>
          </w:p>
        </w:tc>
      </w:tr>
      <w:tr>
        <w:tblPrEx>
          <w:tblCellMar>
            <w:top w:w="0" w:type="dxa"/>
            <w:left w:w="108" w:type="dxa"/>
            <w:bottom w:w="0" w:type="dxa"/>
            <w:right w:w="108" w:type="dxa"/>
          </w:tblCellMar>
        </w:tblPrEx>
        <w:trPr>
          <w:trHeight w:val="340" w:hRule="exact"/>
          <w:jc w:val="center"/>
        </w:trPr>
        <w:tc>
          <w:tcPr>
            <w:tcW w:w="5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w:t>
            </w:r>
          </w:p>
        </w:tc>
      </w:tr>
      <w:tr>
        <w:tblPrEx>
          <w:tblCellMar>
            <w:top w:w="0" w:type="dxa"/>
            <w:left w:w="108" w:type="dxa"/>
            <w:bottom w:w="0" w:type="dxa"/>
            <w:right w:w="108" w:type="dxa"/>
          </w:tblCellMar>
        </w:tblPrEx>
        <w:trPr>
          <w:trHeight w:val="340" w:hRule="exact"/>
          <w:jc w:val="center"/>
        </w:trPr>
        <w:tc>
          <w:tcPr>
            <w:tcW w:w="51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（40+60+40）m 连续梁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18</w:t>
            </w:r>
          </w:p>
        </w:tc>
      </w:tr>
      <w:tr>
        <w:tblPrEx>
          <w:tblCellMar>
            <w:top w:w="0" w:type="dxa"/>
            <w:left w:w="108" w:type="dxa"/>
            <w:bottom w:w="0" w:type="dxa"/>
            <w:right w:w="108" w:type="dxa"/>
          </w:tblCellMar>
        </w:tblPrEx>
        <w:trPr>
          <w:trHeight w:val="340" w:hRule="exact"/>
          <w:jc w:val="center"/>
        </w:trPr>
        <w:tc>
          <w:tcPr>
            <w:tcW w:w="51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13</w:t>
            </w:r>
          </w:p>
        </w:tc>
        <w:tc>
          <w:tcPr>
            <w:tcW w:w="2582"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槐堂停车场出入段线</w:t>
            </w:r>
          </w:p>
        </w:tc>
        <w:tc>
          <w:tcPr>
            <w:tcW w:w="3225"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RCK0+383.4～RCK0+891.5</w:t>
            </w:r>
          </w:p>
        </w:tc>
        <w:tc>
          <w:tcPr>
            <w:tcW w:w="1039"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508.1</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25m双线简支梁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48</w:t>
            </w:r>
          </w:p>
        </w:tc>
      </w:tr>
      <w:tr>
        <w:tblPrEx>
          <w:tblCellMar>
            <w:top w:w="0" w:type="dxa"/>
            <w:left w:w="108" w:type="dxa"/>
            <w:bottom w:w="0" w:type="dxa"/>
            <w:right w:w="108" w:type="dxa"/>
          </w:tblCellMar>
        </w:tblPrEx>
        <w:trPr>
          <w:trHeight w:val="340" w:hRule="exact"/>
          <w:jc w:val="center"/>
        </w:trPr>
        <w:tc>
          <w:tcPr>
            <w:tcW w:w="51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2582"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30m双线简支梁</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60</w:t>
            </w:r>
          </w:p>
        </w:tc>
      </w:tr>
      <w:tr>
        <w:tblPrEx>
          <w:tblCellMar>
            <w:top w:w="0" w:type="dxa"/>
            <w:left w:w="108" w:type="dxa"/>
            <w:bottom w:w="0" w:type="dxa"/>
            <w:right w:w="108" w:type="dxa"/>
          </w:tblCellMar>
        </w:tblPrEx>
        <w:trPr>
          <w:trHeight w:val="397" w:hRule="exac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合计</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783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kern w:val="0"/>
                <w:sz w:val="22"/>
              </w:rPr>
            </w:pPr>
            <w:r>
              <w:rPr>
                <w:rFonts w:hint="eastAsia" w:ascii="宋体" w:hAnsi="宋体" w:eastAsia="宋体" w:cs="宋体"/>
                <w:kern w:val="0"/>
                <w:sz w:val="22"/>
              </w:rPr>
              <w:t>4898</w:t>
            </w:r>
          </w:p>
        </w:tc>
      </w:tr>
    </w:tbl>
    <w:p>
      <w:pPr>
        <w:pStyle w:val="8"/>
        <w:ind w:firstLine="640"/>
        <w:sectPr>
          <w:pgSz w:w="16838" w:h="11906" w:orient="landscape"/>
          <w:pgMar w:top="1587" w:right="2098" w:bottom="1474" w:left="1984" w:header="851" w:footer="992" w:gutter="0"/>
          <w:pgNumType w:fmt="numberInDash"/>
          <w:cols w:space="0" w:num="1"/>
          <w:docGrid w:type="lines" w:linePitch="440" w:charSpace="0"/>
        </w:sectPr>
      </w:pPr>
    </w:p>
    <w:p>
      <w:pPr>
        <w:ind w:firstLine="0" w:firstLineChars="0"/>
        <w:jc w:val="left"/>
        <w:outlineLvl w:val="0"/>
        <w:rPr>
          <w:rFonts w:ascii="黑体" w:hAnsi="黑体" w:eastAsia="黑体" w:cs="黑体"/>
          <w:szCs w:val="32"/>
        </w:rPr>
      </w:pPr>
      <w:bookmarkStart w:id="65" w:name="_Toc12049"/>
      <w:bookmarkStart w:id="66" w:name="_Toc8376"/>
      <w:bookmarkStart w:id="67" w:name="_Toc30015"/>
      <w:r>
        <w:rPr>
          <w:rFonts w:hint="eastAsia" w:ascii="黑体" w:hAnsi="黑体" w:eastAsia="黑体" w:cs="黑体"/>
          <w:szCs w:val="32"/>
        </w:rPr>
        <w:t>附件4：进场人员工作清单</w:t>
      </w:r>
      <w:bookmarkEnd w:id="65"/>
      <w:bookmarkEnd w:id="66"/>
      <w:bookmarkEnd w:id="67"/>
    </w:p>
    <w:tbl>
      <w:tblPr>
        <w:tblStyle w:val="15"/>
        <w:tblpPr w:leftFromText="180" w:rightFromText="180" w:vertAnchor="text" w:horzAnchor="margin" w:tblpXSpec="center" w:tblpY="158"/>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257"/>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6257"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工作清单</w:t>
            </w:r>
          </w:p>
        </w:tc>
        <w:tc>
          <w:tcPr>
            <w:tcW w:w="1562"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1</w:t>
            </w:r>
          </w:p>
        </w:tc>
        <w:tc>
          <w:tcPr>
            <w:tcW w:w="6257" w:type="dxa"/>
            <w:vAlign w:val="center"/>
          </w:tcPr>
          <w:p>
            <w:pPr>
              <w:tabs>
                <w:tab w:val="right" w:leader="dot" w:pos="7980"/>
              </w:tabs>
              <w:spacing w:line="240" w:lineRule="auto"/>
              <w:ind w:firstLine="0" w:firstLineChars="0"/>
              <w:jc w:val="left"/>
              <w:rPr>
                <w:rFonts w:ascii="宋体" w:hAnsi="宋体" w:eastAsia="宋体" w:cs="宋体"/>
                <w:b/>
                <w:sz w:val="21"/>
                <w:szCs w:val="21"/>
              </w:rPr>
            </w:pPr>
            <w:r>
              <w:rPr>
                <w:rFonts w:hint="eastAsia" w:ascii="宋体" w:hAnsi="宋体" w:eastAsia="宋体" w:cs="宋体"/>
                <w:bCs/>
                <w:sz w:val="21"/>
                <w:szCs w:val="21"/>
              </w:rPr>
              <w:t>人员按投标方要求时间内进场，不得延误。</w:t>
            </w:r>
          </w:p>
        </w:tc>
        <w:tc>
          <w:tcPr>
            <w:tcW w:w="1562" w:type="dxa"/>
            <w:vMerge w:val="restart"/>
            <w:vAlign w:val="center"/>
          </w:tcPr>
          <w:p>
            <w:pPr>
              <w:widowControl/>
              <w:tabs>
                <w:tab w:val="left" w:pos="0"/>
              </w:tabs>
              <w:adjustRightInd w:val="0"/>
              <w:spacing w:line="240" w:lineRule="auto"/>
              <w:ind w:firstLine="0" w:firstLineChars="0"/>
              <w:jc w:val="center"/>
              <w:textAlignment w:val="baseline"/>
              <w:rPr>
                <w:rFonts w:ascii="宋体" w:hAnsi="宋体" w:eastAsia="宋体" w:cs="宋体"/>
                <w:sz w:val="21"/>
                <w:szCs w:val="21"/>
              </w:rPr>
            </w:pPr>
            <w:r>
              <w:rPr>
                <w:rFonts w:hint="eastAsia" w:ascii="宋体" w:hAnsi="宋体" w:eastAsia="宋体" w:cs="宋体"/>
                <w:kern w:val="0"/>
                <w:sz w:val="21"/>
                <w:szCs w:val="21"/>
              </w:rPr>
              <w:t>招标方将结合培训情况定期安排评估考试，提前进场人员需服从招标方安排。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2</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参加招标方编制的相关检修规程、工作指引学习并考试合格。</w:t>
            </w:r>
          </w:p>
        </w:tc>
        <w:tc>
          <w:tcPr>
            <w:tcW w:w="1562" w:type="dxa"/>
            <w:vMerge w:val="continue"/>
            <w:vAlign w:val="center"/>
          </w:tcPr>
          <w:p>
            <w:pPr>
              <w:widowControl/>
              <w:tabs>
                <w:tab w:val="left" w:pos="0"/>
              </w:tabs>
              <w:adjustRightInd w:val="0"/>
              <w:spacing w:line="240" w:lineRule="auto"/>
              <w:ind w:firstLine="0" w:firstLineChars="0"/>
              <w:jc w:val="center"/>
              <w:textAlignment w:val="baseline"/>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3</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参加招标方组织的专业理论、实操并考试合格。</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4</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参加招标方组织的施工负责人资格培训考试。</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5</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完成项目部组建，建立健全相关管理制度、台账。</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6</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熟悉义东线沿线情况、结构长期变形监测深桩点等</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7</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其他所有结构监测相关的工作</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bl>
    <w:p>
      <w:pPr>
        <w:ind w:firstLine="0" w:firstLineChars="0"/>
        <w:rPr>
          <w:rFonts w:ascii="Times New Roman" w:hAnsi="Times New Roman" w:eastAsia="楷体" w:cs="Times New Roman"/>
          <w:szCs w:val="32"/>
        </w:rPr>
      </w:pPr>
    </w:p>
    <w:p>
      <w:pPr>
        <w:ind w:firstLine="640"/>
        <w:rPr>
          <w:rFonts w:ascii="仿宋_GB2312" w:hAnsi="仿宋_GB2312"/>
        </w:rPr>
      </w:pPr>
      <w:r>
        <w:rPr>
          <w:rFonts w:ascii="仿宋_GB2312" w:hAnsi="仿宋_GB2312"/>
        </w:rPr>
        <w:br w:type="page"/>
      </w:r>
    </w:p>
    <w:p>
      <w:pPr>
        <w:ind w:firstLine="0" w:firstLineChars="0"/>
        <w:jc w:val="left"/>
        <w:outlineLvl w:val="0"/>
        <w:rPr>
          <w:rFonts w:ascii="黑体" w:hAnsi="黑体" w:eastAsia="黑体" w:cs="黑体"/>
          <w:szCs w:val="32"/>
        </w:rPr>
      </w:pPr>
      <w:bookmarkStart w:id="68" w:name="_Toc22497"/>
      <w:bookmarkStart w:id="69" w:name="_Toc16476"/>
      <w:bookmarkStart w:id="70" w:name="_Toc19905"/>
      <w:r>
        <w:rPr>
          <w:rFonts w:hint="eastAsia" w:ascii="黑体" w:hAnsi="黑体" w:eastAsia="黑体" w:cs="黑体"/>
          <w:szCs w:val="32"/>
        </w:rPr>
        <w:t>附录5：投标方设备资源、人员配备需求表</w:t>
      </w:r>
      <w:bookmarkEnd w:id="68"/>
      <w:bookmarkEnd w:id="69"/>
      <w:bookmarkEnd w:id="70"/>
    </w:p>
    <w:tbl>
      <w:tblPr>
        <w:tblStyle w:val="1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56"/>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2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1456"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w:t>
            </w:r>
          </w:p>
        </w:tc>
        <w:tc>
          <w:tcPr>
            <w:tcW w:w="678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2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w:t>
            </w:r>
          </w:p>
        </w:tc>
        <w:tc>
          <w:tcPr>
            <w:tcW w:w="1456"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设备资源</w:t>
            </w:r>
          </w:p>
        </w:tc>
        <w:tc>
          <w:tcPr>
            <w:tcW w:w="6780" w:type="dxa"/>
            <w:vAlign w:val="center"/>
          </w:tcPr>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1、投标方配备必要的工机具，并得到招标方认可（见附录2、附录3），对投标方配备的资源由投标方承担其使用费、修理费，必要时招标方有权调用这些设备。</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2、维保项目所需材料投标方提供。</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3、配备生产必须的符合招标人要求的工作服和劳动防护用品（按招标方标准配备）。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1" w:hRule="atLeast"/>
          <w:jc w:val="center"/>
        </w:trPr>
        <w:tc>
          <w:tcPr>
            <w:tcW w:w="820" w:type="dxa"/>
            <w:vAlign w:val="center"/>
          </w:tcPr>
          <w:p>
            <w:pPr>
              <w:ind w:firstLine="420"/>
              <w:rPr>
                <w:rFonts w:ascii="宋体" w:hAnsi="宋体" w:eastAsia="宋体" w:cs="宋体"/>
                <w:sz w:val="21"/>
                <w:szCs w:val="21"/>
              </w:rPr>
            </w:pPr>
            <w:r>
              <w:rPr>
                <w:rFonts w:hint="eastAsia" w:ascii="宋体" w:hAnsi="宋体" w:eastAsia="宋体" w:cs="宋体"/>
                <w:sz w:val="21"/>
                <w:szCs w:val="21"/>
              </w:rPr>
              <w:t>2</w:t>
            </w:r>
          </w:p>
        </w:tc>
        <w:tc>
          <w:tcPr>
            <w:tcW w:w="1456"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人员配备</w:t>
            </w:r>
          </w:p>
        </w:tc>
        <w:tc>
          <w:tcPr>
            <w:tcW w:w="6780" w:type="dxa"/>
            <w:vAlign w:val="center"/>
          </w:tcPr>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1、投标方项目部配置人员原则上不得少于20人，设置项目经理1名，技术负责人1名，监测管理人员至少5名，配备专（兼）职资料员至少1名，现场监测作业人员至少10名。</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2、项目经理：1人（不得返聘、外聘），具备测量或岩土专业高级职称，10年以上工作经验，从事类似工程监测5年以上。</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3、技术负责人：1人（不得返聘、外聘），具备测量或岩土专业中级及以上职称（技术负责人不得与项目经理同专业），6年以上工作经验，从事类似工程监测3年以上。</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4、监测管理人员：至少5名，测量、岩土、结构专业工程师及以上各至少1人。</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5、监测作业人员：具有一定的监测经验。</w:t>
            </w:r>
          </w:p>
          <w:p>
            <w:pPr>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6、以上人员身体健康，品行良好无犯罪记录。</w:t>
            </w:r>
          </w:p>
          <w:p>
            <w:pPr>
              <w:spacing w:line="240" w:lineRule="auto"/>
              <w:ind w:firstLine="0" w:firstLineChars="0"/>
              <w:jc w:val="left"/>
              <w:rPr>
                <w:rFonts w:ascii="宋体" w:hAnsi="宋体" w:eastAsia="宋体" w:cs="宋体"/>
                <w:sz w:val="21"/>
                <w:szCs w:val="21"/>
              </w:rPr>
            </w:pPr>
          </w:p>
        </w:tc>
      </w:tr>
    </w:tbl>
    <w:p>
      <w:pPr>
        <w:ind w:firstLine="640"/>
        <w:rPr>
          <w:rFonts w:ascii="仿宋_GB2312" w:hAnsi="仿宋_GB2312"/>
        </w:rPr>
      </w:pPr>
      <w:r>
        <w:rPr>
          <w:rFonts w:ascii="仿宋_GB2312" w:hAnsi="仿宋_GB2312"/>
        </w:rPr>
        <w:br w:type="page"/>
      </w:r>
    </w:p>
    <w:p>
      <w:pPr>
        <w:ind w:firstLine="0" w:firstLineChars="0"/>
        <w:jc w:val="left"/>
        <w:rPr>
          <w:rFonts w:ascii="黑体" w:hAnsi="黑体" w:eastAsia="黑体" w:cs="黑体"/>
          <w:szCs w:val="32"/>
        </w:rPr>
      </w:pPr>
      <w:bookmarkStart w:id="71" w:name="_Toc27927"/>
      <w:r>
        <w:rPr>
          <w:rFonts w:hint="eastAsia" w:ascii="黑体" w:hAnsi="黑体" w:eastAsia="黑体" w:cs="黑体"/>
          <w:szCs w:val="32"/>
        </w:rPr>
        <w:t>附录6：投标方工机具配备（包含但不限于下表内容）</w:t>
      </w:r>
      <w:bookmarkEnd w:id="71"/>
    </w:p>
    <w:p>
      <w:pPr>
        <w:pStyle w:val="6"/>
        <w:ind w:firstLine="640"/>
      </w:pPr>
      <w:r>
        <w:rPr>
          <w:rFonts w:hint="eastAsia"/>
        </w:rPr>
        <w:t>招标人不提供工器具，投标人为满足生产需要并获招标人认可进行配置，以下规格型号为推荐品牌型号，投标人配置不得低于（或优于）推荐品牌型号，但不得少于下列最基本数量， 其他不足部分随时根据招标人要求进行及时购置。</w:t>
      </w:r>
    </w:p>
    <w:tbl>
      <w:tblPr>
        <w:tblStyle w:val="1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700"/>
        <w:gridCol w:w="2250"/>
        <w:gridCol w:w="123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名称/推荐型号</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精度指标</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数量</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全自动全站仪</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0.5"/0.6+1ppm·D</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2台</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含2块GBE242电池、256MB SD卡2张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GEV208全站仪电源适配器</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1套</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徕卡GeoMos地铁隧道自动监测软件及数据处理软件等</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1套</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含一台仪器的监测、计算、分析、超差报警模块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4</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串联解算软件</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1套</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电子水准仪</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0.3mm/km</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3台</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6</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铟钢尺</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2副</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7</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激光测距仪</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±1.0mm/~1/16″</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1台</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8</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裂缝观测仪</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0.1mm</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1台</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9</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无人机</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1台</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巡查拍照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10</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照相机</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1台</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11</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游标卡尺</w:t>
            </w:r>
          </w:p>
        </w:tc>
        <w:tc>
          <w:tcPr>
            <w:tcW w:w="2250" w:type="dxa"/>
            <w:vAlign w:val="center"/>
          </w:tcPr>
          <w:p>
            <w:pPr>
              <w:pStyle w:val="6"/>
              <w:spacing w:line="240" w:lineRule="auto"/>
              <w:ind w:firstLine="0" w:firstLineChars="0"/>
              <w:jc w:val="center"/>
              <w:rPr>
                <w:rFonts w:ascii="宋体" w:hAnsi="宋体" w:eastAsia="宋体" w:cs="宋体"/>
                <w:sz w:val="21"/>
                <w:szCs w:val="21"/>
              </w:rPr>
            </w:pP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1套</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12</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RTK</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动态测量水平8mm+1*10-6垂直20mm+0.5D*10-6</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1套</w:t>
            </w:r>
          </w:p>
        </w:tc>
        <w:tc>
          <w:tcPr>
            <w:tcW w:w="212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巡查定位/应急定位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751"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13</w:t>
            </w:r>
          </w:p>
        </w:tc>
        <w:tc>
          <w:tcPr>
            <w:tcW w:w="270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移动式三维激光扫描仪</w:t>
            </w:r>
          </w:p>
        </w:tc>
        <w:tc>
          <w:tcPr>
            <w:tcW w:w="2250"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测距精度1mm</w:t>
            </w:r>
          </w:p>
        </w:tc>
        <w:tc>
          <w:tcPr>
            <w:tcW w:w="1235" w:type="dxa"/>
            <w:vAlign w:val="center"/>
          </w:tcPr>
          <w:p>
            <w:pPr>
              <w:pStyle w:val="6"/>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1台</w:t>
            </w:r>
          </w:p>
        </w:tc>
        <w:tc>
          <w:tcPr>
            <w:tcW w:w="2120" w:type="dxa"/>
            <w:vAlign w:val="center"/>
          </w:tcPr>
          <w:p>
            <w:pPr>
              <w:pStyle w:val="6"/>
              <w:spacing w:line="240" w:lineRule="auto"/>
              <w:ind w:firstLine="0" w:firstLineChars="0"/>
              <w:jc w:val="center"/>
              <w:rPr>
                <w:rFonts w:ascii="宋体" w:hAnsi="宋体" w:eastAsia="宋体" w:cs="宋体"/>
                <w:sz w:val="21"/>
                <w:szCs w:val="21"/>
              </w:rPr>
            </w:pPr>
          </w:p>
        </w:tc>
      </w:tr>
    </w:tbl>
    <w:p>
      <w:pPr>
        <w:pStyle w:val="6"/>
        <w:ind w:firstLine="640"/>
      </w:pPr>
    </w:p>
    <w:p>
      <w:pPr>
        <w:pStyle w:val="6"/>
        <w:ind w:firstLine="640"/>
      </w:pPr>
    </w:p>
    <w:p>
      <w:pPr>
        <w:ind w:firstLine="0" w:firstLineChars="0"/>
        <w:jc w:val="left"/>
        <w:outlineLvl w:val="0"/>
        <w:rPr>
          <w:rFonts w:ascii="黑体" w:hAnsi="黑体" w:eastAsia="黑体" w:cs="黑体"/>
          <w:szCs w:val="32"/>
        </w:rPr>
      </w:pPr>
      <w:bookmarkStart w:id="72" w:name="_Toc13822"/>
      <w:r>
        <w:rPr>
          <w:rFonts w:hint="eastAsia" w:ascii="黑体" w:hAnsi="黑体" w:eastAsia="黑体" w:cs="黑体"/>
          <w:szCs w:val="32"/>
        </w:rPr>
        <w:t>附录7：项目对投标方需配备的建议资质要求</w:t>
      </w:r>
      <w:bookmarkEnd w:id="72"/>
    </w:p>
    <w:tbl>
      <w:tblPr>
        <w:tblStyle w:val="1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56"/>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2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1456"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w:t>
            </w:r>
          </w:p>
        </w:tc>
        <w:tc>
          <w:tcPr>
            <w:tcW w:w="678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建议资质要求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20"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w:t>
            </w:r>
          </w:p>
        </w:tc>
        <w:tc>
          <w:tcPr>
            <w:tcW w:w="1456" w:type="dxa"/>
            <w:vAlign w:val="center"/>
          </w:tcPr>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结构监测</w:t>
            </w:r>
          </w:p>
        </w:tc>
        <w:tc>
          <w:tcPr>
            <w:tcW w:w="6780" w:type="dxa"/>
            <w:vAlign w:val="center"/>
          </w:tcPr>
          <w:p>
            <w:pPr>
              <w:pStyle w:val="14"/>
              <w:widowControl/>
              <w:spacing w:line="360" w:lineRule="atLeast"/>
              <w:ind w:firstLine="420"/>
              <w:rPr>
                <w:rFonts w:ascii="宋体" w:hAnsi="宋体" w:eastAsia="宋体" w:cs="宋体"/>
                <w:sz w:val="21"/>
                <w:szCs w:val="21"/>
              </w:rPr>
            </w:pPr>
            <w:r>
              <w:rPr>
                <w:rFonts w:hint="eastAsia" w:ascii="宋体" w:hAnsi="宋体" w:eastAsia="宋体" w:cs="宋体"/>
                <w:sz w:val="21"/>
                <w:szCs w:val="21"/>
              </w:rPr>
              <w:t>1.在中华人民共和国境内注册的独立法人企业。</w:t>
            </w:r>
          </w:p>
          <w:p>
            <w:pPr>
              <w:pStyle w:val="14"/>
              <w:widowControl/>
              <w:spacing w:line="360" w:lineRule="atLeast"/>
              <w:ind w:firstLine="420"/>
              <w:rPr>
                <w:rFonts w:ascii="宋体" w:hAnsi="宋体" w:eastAsia="宋体" w:cs="宋体"/>
                <w:sz w:val="21"/>
                <w:szCs w:val="21"/>
              </w:rPr>
            </w:pPr>
            <w:r>
              <w:rPr>
                <w:rFonts w:hint="eastAsia" w:ascii="宋体" w:hAnsi="宋体" w:eastAsia="宋体" w:cs="宋体"/>
                <w:sz w:val="21"/>
                <w:szCs w:val="21"/>
              </w:rPr>
              <w:t>2.具备住房和城乡建设部（原建设部）颁发的工程勘察综合类甲级资质或同时具有专业类岩土工程勘察甲级和工程测量甲级及以上资质或同时具有国家测绘地理信息部门（或国家自然资源部门）核发的测绘甲级资质（专业范围含工程测量）和住房和城乡建设部门核发的工程勘察专业类（岩土工程）甲级资质。</w:t>
            </w:r>
          </w:p>
          <w:p>
            <w:pPr>
              <w:pStyle w:val="14"/>
              <w:widowControl/>
              <w:spacing w:line="360" w:lineRule="atLeast"/>
              <w:ind w:firstLine="420"/>
              <w:rPr>
                <w:rFonts w:ascii="宋体" w:hAnsi="宋体" w:eastAsia="宋体" w:cs="宋体"/>
                <w:sz w:val="21"/>
                <w:szCs w:val="21"/>
              </w:rPr>
            </w:pPr>
            <w:r>
              <w:rPr>
                <w:rFonts w:hint="eastAsia" w:ascii="宋体" w:hAnsi="宋体" w:eastAsia="宋体" w:cs="宋体"/>
                <w:sz w:val="21"/>
                <w:szCs w:val="21"/>
              </w:rPr>
              <w:t>3.2017年1月1日起至今，投标人至少具有1个直接与业主单位签订合同（或协议）的国内地铁建设或运营的监测业绩。（注：地铁建设期监测业绩需要包含地铁深基坑和盾构隧道工程监测内容，运营期监测业绩需要包含地下车站和盾构区间监测内容，地铁深基坑监测（或地下车站）和盾构隧道工程监测内容要在同一业绩中体现）。</w:t>
            </w:r>
          </w:p>
          <w:p>
            <w:pPr>
              <w:pStyle w:val="14"/>
              <w:widowControl/>
              <w:spacing w:line="360" w:lineRule="atLeast"/>
              <w:ind w:firstLine="420"/>
              <w:rPr>
                <w:rFonts w:ascii="宋体" w:hAnsi="宋体" w:eastAsia="宋体" w:cs="宋体"/>
                <w:sz w:val="21"/>
                <w:szCs w:val="21"/>
              </w:rPr>
            </w:pPr>
            <w:r>
              <w:rPr>
                <w:rFonts w:hint="eastAsia" w:ascii="宋体" w:hAnsi="宋体" w:eastAsia="宋体" w:cs="宋体"/>
                <w:sz w:val="21"/>
                <w:szCs w:val="21"/>
              </w:rPr>
              <w:t>4.不接受联合体投标。</w:t>
            </w:r>
          </w:p>
          <w:p>
            <w:pPr>
              <w:spacing w:line="240" w:lineRule="auto"/>
              <w:ind w:firstLine="0" w:firstLineChars="0"/>
              <w:jc w:val="left"/>
              <w:rPr>
                <w:rFonts w:ascii="宋体" w:hAnsi="宋体" w:eastAsia="宋体" w:cs="宋体"/>
                <w:sz w:val="21"/>
                <w:szCs w:val="21"/>
              </w:rPr>
            </w:pPr>
          </w:p>
        </w:tc>
      </w:tr>
    </w:tbl>
    <w:p>
      <w:pPr>
        <w:pStyle w:val="6"/>
        <w:ind w:firstLine="0" w:firstLineChars="0"/>
      </w:pPr>
    </w:p>
    <w:sectPr>
      <w:footerReference r:id="rId11" w:type="default"/>
      <w:pgSz w:w="11906" w:h="16838"/>
      <w:pgMar w:top="2098" w:right="1474" w:bottom="1984" w:left="1587" w:header="851" w:footer="992" w:gutter="0"/>
      <w:pgNumType w:fmt="numberInDash"/>
      <w:cols w:space="0" w:num="1"/>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ind w:firstLine="360"/>
      <w:jc w:val="center"/>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10"/>
                  <w:ind w:firstLine="56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pPr>
                  <w:pStyle w:val="10"/>
                  <w:ind w:firstLine="560"/>
                  <w:rPr>
                    <w:rFonts w:ascii="仿宋_GB2312" w:hAnsi="仿宋_GB2312"/>
                    <w:sz w:val="28"/>
                    <w:szCs w:val="28"/>
                  </w:rPr>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ascii="仿宋_GB2312" w:hAnsi="仿宋_GB2312"/>
                    <w:sz w:val="28"/>
                    <w:szCs w:val="28"/>
                  </w:rPr>
                  <w:t>- 7 -</w:t>
                </w:r>
                <w:r>
                  <w:rPr>
                    <w:rFonts w:hint="eastAsia" w:ascii="仿宋_GB2312" w:hAnsi="仿宋_GB2312"/>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pPr>
                  <w:pStyle w:val="10"/>
                  <w:ind w:firstLine="560"/>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ascii="仿宋_GB2312" w:hAnsi="仿宋_GB2312"/>
                    <w:sz w:val="28"/>
                    <w:szCs w:val="28"/>
                  </w:rPr>
                  <w:t>- 62 -</w:t>
                </w:r>
                <w:r>
                  <w:rPr>
                    <w:rFonts w:hint="eastAsia" w:ascii="仿宋_GB2312" w:hAnsi="仿宋_GB2312"/>
                    <w:sz w:val="28"/>
                    <w:szCs w:val="28"/>
                  </w:rP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69D140"/>
    <w:multiLevelType w:val="singleLevel"/>
    <w:tmpl w:val="EF69D140"/>
    <w:lvl w:ilvl="0" w:tentative="0">
      <w:start w:val="4"/>
      <w:numFmt w:val="chineseCounting"/>
      <w:suff w:val="nothing"/>
      <w:lvlText w:val="%1、"/>
      <w:lvlJc w:val="left"/>
      <w:rPr>
        <w:rFonts w:hint="eastAsia"/>
      </w:rPr>
    </w:lvl>
  </w:abstractNum>
  <w:abstractNum w:abstractNumId="1">
    <w:nsid w:val="F598A181"/>
    <w:multiLevelType w:val="singleLevel"/>
    <w:tmpl w:val="F598A181"/>
    <w:lvl w:ilvl="0" w:tentative="0">
      <w:start w:val="13"/>
      <w:numFmt w:val="chineseCounting"/>
      <w:suff w:val="nothing"/>
      <w:lvlText w:val="%1、"/>
      <w:lvlJc w:val="left"/>
      <w:rPr>
        <w:rFonts w:hint="eastAsia"/>
      </w:rPr>
    </w:lvl>
  </w:abstractNum>
  <w:abstractNum w:abstractNumId="2">
    <w:nsid w:val="063DC908"/>
    <w:multiLevelType w:val="singleLevel"/>
    <w:tmpl w:val="063DC908"/>
    <w:lvl w:ilvl="0" w:tentative="0">
      <w:start w:val="15"/>
      <w:numFmt w:val="chineseCounting"/>
      <w:suff w:val="nothing"/>
      <w:lvlText w:val="%1、"/>
      <w:lvlJc w:val="left"/>
      <w:rPr>
        <w:rFonts w:hint="eastAsia"/>
      </w:rPr>
    </w:lvl>
  </w:abstractNum>
  <w:abstractNum w:abstractNumId="3">
    <w:nsid w:val="37279D47"/>
    <w:multiLevelType w:val="singleLevel"/>
    <w:tmpl w:val="37279D47"/>
    <w:lvl w:ilvl="0" w:tentative="0">
      <w:start w:val="2"/>
      <w:numFmt w:val="decimal"/>
      <w:suff w:val="nothing"/>
      <w:lvlText w:val="%1、"/>
      <w:lvlJc w:val="left"/>
    </w:lvl>
  </w:abstractNum>
  <w:abstractNum w:abstractNumId="4">
    <w:nsid w:val="5888CBF1"/>
    <w:multiLevelType w:val="singleLevel"/>
    <w:tmpl w:val="5888CBF1"/>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220"/>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8910610"/>
    <w:rsid w:val="00435F96"/>
    <w:rsid w:val="0060600B"/>
    <w:rsid w:val="007A6743"/>
    <w:rsid w:val="00811894"/>
    <w:rsid w:val="009B3C2B"/>
    <w:rsid w:val="00AD3F23"/>
    <w:rsid w:val="00B366A5"/>
    <w:rsid w:val="00B7406B"/>
    <w:rsid w:val="00D50B1D"/>
    <w:rsid w:val="00D647B8"/>
    <w:rsid w:val="00D7537C"/>
    <w:rsid w:val="00DD2588"/>
    <w:rsid w:val="00DE512D"/>
    <w:rsid w:val="00E80222"/>
    <w:rsid w:val="00E95A93"/>
    <w:rsid w:val="00ED0871"/>
    <w:rsid w:val="00F44DB3"/>
    <w:rsid w:val="01F8552C"/>
    <w:rsid w:val="02A23F0D"/>
    <w:rsid w:val="02E56EC4"/>
    <w:rsid w:val="031B2984"/>
    <w:rsid w:val="039F26BB"/>
    <w:rsid w:val="03A14C9C"/>
    <w:rsid w:val="04047BE3"/>
    <w:rsid w:val="046F4365"/>
    <w:rsid w:val="047A58D2"/>
    <w:rsid w:val="04932FF6"/>
    <w:rsid w:val="04CC3A89"/>
    <w:rsid w:val="05010484"/>
    <w:rsid w:val="05237BDB"/>
    <w:rsid w:val="058753C5"/>
    <w:rsid w:val="05C5510E"/>
    <w:rsid w:val="064D67F1"/>
    <w:rsid w:val="0680238C"/>
    <w:rsid w:val="06977295"/>
    <w:rsid w:val="06BE533E"/>
    <w:rsid w:val="070646EC"/>
    <w:rsid w:val="072205AD"/>
    <w:rsid w:val="07831AEB"/>
    <w:rsid w:val="07AF301E"/>
    <w:rsid w:val="07B06FA0"/>
    <w:rsid w:val="07F11DB2"/>
    <w:rsid w:val="08122453"/>
    <w:rsid w:val="08264160"/>
    <w:rsid w:val="089652CA"/>
    <w:rsid w:val="08AB760E"/>
    <w:rsid w:val="098D5A5E"/>
    <w:rsid w:val="09A1220E"/>
    <w:rsid w:val="09BD7CA3"/>
    <w:rsid w:val="0A196926"/>
    <w:rsid w:val="0A282D3B"/>
    <w:rsid w:val="0AEA24C4"/>
    <w:rsid w:val="0B570306"/>
    <w:rsid w:val="0BB97CE4"/>
    <w:rsid w:val="0BCE757D"/>
    <w:rsid w:val="0C8A36D2"/>
    <w:rsid w:val="0CAE604F"/>
    <w:rsid w:val="0CEA2E4D"/>
    <w:rsid w:val="0E340425"/>
    <w:rsid w:val="0F1D7E69"/>
    <w:rsid w:val="0F8C5B43"/>
    <w:rsid w:val="105F3602"/>
    <w:rsid w:val="107F0F88"/>
    <w:rsid w:val="11DE1A5B"/>
    <w:rsid w:val="11E43C1D"/>
    <w:rsid w:val="11FC0283"/>
    <w:rsid w:val="12C717FF"/>
    <w:rsid w:val="12CE33BB"/>
    <w:rsid w:val="12E953D6"/>
    <w:rsid w:val="13617F6C"/>
    <w:rsid w:val="13D25B99"/>
    <w:rsid w:val="13E04E42"/>
    <w:rsid w:val="14C571C5"/>
    <w:rsid w:val="155D2DC8"/>
    <w:rsid w:val="157E6382"/>
    <w:rsid w:val="15C34ED9"/>
    <w:rsid w:val="15D34C04"/>
    <w:rsid w:val="15F92E18"/>
    <w:rsid w:val="161165B6"/>
    <w:rsid w:val="16730824"/>
    <w:rsid w:val="16AE105D"/>
    <w:rsid w:val="16B86F2E"/>
    <w:rsid w:val="17033282"/>
    <w:rsid w:val="1726359A"/>
    <w:rsid w:val="1764073A"/>
    <w:rsid w:val="17BE62C6"/>
    <w:rsid w:val="17F570EC"/>
    <w:rsid w:val="18046215"/>
    <w:rsid w:val="18210470"/>
    <w:rsid w:val="182D5437"/>
    <w:rsid w:val="182D6ED4"/>
    <w:rsid w:val="18A423FE"/>
    <w:rsid w:val="18B76CF0"/>
    <w:rsid w:val="1918258A"/>
    <w:rsid w:val="19980056"/>
    <w:rsid w:val="19B91F6E"/>
    <w:rsid w:val="19E110BB"/>
    <w:rsid w:val="1A0E23C0"/>
    <w:rsid w:val="1A1F36F8"/>
    <w:rsid w:val="1AA169FD"/>
    <w:rsid w:val="1B3B448A"/>
    <w:rsid w:val="1B4A329E"/>
    <w:rsid w:val="1B606B02"/>
    <w:rsid w:val="1C2C54AD"/>
    <w:rsid w:val="1CEF1CAC"/>
    <w:rsid w:val="1F52077F"/>
    <w:rsid w:val="1FC23A78"/>
    <w:rsid w:val="1FF5203A"/>
    <w:rsid w:val="22AD10CD"/>
    <w:rsid w:val="22C116C0"/>
    <w:rsid w:val="22E37222"/>
    <w:rsid w:val="22E515CF"/>
    <w:rsid w:val="22EC1DF2"/>
    <w:rsid w:val="233E4E55"/>
    <w:rsid w:val="237E19F0"/>
    <w:rsid w:val="24100CAF"/>
    <w:rsid w:val="242053BE"/>
    <w:rsid w:val="24AE561B"/>
    <w:rsid w:val="24C276DA"/>
    <w:rsid w:val="24CD09B4"/>
    <w:rsid w:val="24D208BA"/>
    <w:rsid w:val="24E147E1"/>
    <w:rsid w:val="25D83247"/>
    <w:rsid w:val="2653497A"/>
    <w:rsid w:val="266E33F7"/>
    <w:rsid w:val="276A57E6"/>
    <w:rsid w:val="27BF4CE1"/>
    <w:rsid w:val="27F71BEE"/>
    <w:rsid w:val="289C7D05"/>
    <w:rsid w:val="28DB4DAD"/>
    <w:rsid w:val="29464FCB"/>
    <w:rsid w:val="294C4394"/>
    <w:rsid w:val="299E3EF2"/>
    <w:rsid w:val="29F949F8"/>
    <w:rsid w:val="2ADD36DC"/>
    <w:rsid w:val="2B1C1006"/>
    <w:rsid w:val="2B4974F9"/>
    <w:rsid w:val="2B9C6D04"/>
    <w:rsid w:val="2C110B9E"/>
    <w:rsid w:val="2C5A7B6E"/>
    <w:rsid w:val="2C9243CB"/>
    <w:rsid w:val="2D042C02"/>
    <w:rsid w:val="2D640929"/>
    <w:rsid w:val="2E3171F9"/>
    <w:rsid w:val="2E43402E"/>
    <w:rsid w:val="2E4A4F30"/>
    <w:rsid w:val="2E8E589B"/>
    <w:rsid w:val="2F075A67"/>
    <w:rsid w:val="2F5F6CA5"/>
    <w:rsid w:val="302D3CBF"/>
    <w:rsid w:val="303F1663"/>
    <w:rsid w:val="30AE7CD9"/>
    <w:rsid w:val="311806B2"/>
    <w:rsid w:val="313A6616"/>
    <w:rsid w:val="31B05816"/>
    <w:rsid w:val="31DC24D5"/>
    <w:rsid w:val="31E10345"/>
    <w:rsid w:val="320F18FF"/>
    <w:rsid w:val="32CD02CB"/>
    <w:rsid w:val="33003924"/>
    <w:rsid w:val="331E4948"/>
    <w:rsid w:val="33C93A51"/>
    <w:rsid w:val="33EA3C37"/>
    <w:rsid w:val="35086681"/>
    <w:rsid w:val="36176255"/>
    <w:rsid w:val="36242BFF"/>
    <w:rsid w:val="363442E8"/>
    <w:rsid w:val="367F154D"/>
    <w:rsid w:val="370D5A64"/>
    <w:rsid w:val="373E4773"/>
    <w:rsid w:val="37C42D7C"/>
    <w:rsid w:val="381A0597"/>
    <w:rsid w:val="382867BD"/>
    <w:rsid w:val="38A21C5D"/>
    <w:rsid w:val="38A37BE1"/>
    <w:rsid w:val="38CD7BA2"/>
    <w:rsid w:val="38EB67CA"/>
    <w:rsid w:val="38FC0905"/>
    <w:rsid w:val="3920070B"/>
    <w:rsid w:val="393B012B"/>
    <w:rsid w:val="396C65B8"/>
    <w:rsid w:val="39A01E64"/>
    <w:rsid w:val="3A051BA0"/>
    <w:rsid w:val="3A7156CA"/>
    <w:rsid w:val="3AA17FFF"/>
    <w:rsid w:val="3B3A78F6"/>
    <w:rsid w:val="3CB9282F"/>
    <w:rsid w:val="3D642B80"/>
    <w:rsid w:val="3DA61DC9"/>
    <w:rsid w:val="3DAA6734"/>
    <w:rsid w:val="3F2007DB"/>
    <w:rsid w:val="3F8456C0"/>
    <w:rsid w:val="3FA0399C"/>
    <w:rsid w:val="3FA416C1"/>
    <w:rsid w:val="3FE44E07"/>
    <w:rsid w:val="3FE6783D"/>
    <w:rsid w:val="3FFA230B"/>
    <w:rsid w:val="40487285"/>
    <w:rsid w:val="4071408C"/>
    <w:rsid w:val="40995BD1"/>
    <w:rsid w:val="40BF64C7"/>
    <w:rsid w:val="40CA0744"/>
    <w:rsid w:val="40D64BEA"/>
    <w:rsid w:val="411614DA"/>
    <w:rsid w:val="41243725"/>
    <w:rsid w:val="416A5E0A"/>
    <w:rsid w:val="41D04211"/>
    <w:rsid w:val="4212745C"/>
    <w:rsid w:val="42546EEF"/>
    <w:rsid w:val="428A6D79"/>
    <w:rsid w:val="42AF220A"/>
    <w:rsid w:val="42E73714"/>
    <w:rsid w:val="433935AE"/>
    <w:rsid w:val="439A1E70"/>
    <w:rsid w:val="43C10508"/>
    <w:rsid w:val="43FE41B1"/>
    <w:rsid w:val="44803139"/>
    <w:rsid w:val="45411910"/>
    <w:rsid w:val="455C540B"/>
    <w:rsid w:val="45647196"/>
    <w:rsid w:val="459F089E"/>
    <w:rsid w:val="45AD7971"/>
    <w:rsid w:val="45B66B3F"/>
    <w:rsid w:val="45C42C92"/>
    <w:rsid w:val="46BA5771"/>
    <w:rsid w:val="46CB07B1"/>
    <w:rsid w:val="47565849"/>
    <w:rsid w:val="47BF6CC8"/>
    <w:rsid w:val="47C47837"/>
    <w:rsid w:val="47D4123B"/>
    <w:rsid w:val="48424EC7"/>
    <w:rsid w:val="489D08A4"/>
    <w:rsid w:val="49187B73"/>
    <w:rsid w:val="497C7C6F"/>
    <w:rsid w:val="4981330C"/>
    <w:rsid w:val="49DB0512"/>
    <w:rsid w:val="49FF581E"/>
    <w:rsid w:val="4A2B0AB3"/>
    <w:rsid w:val="4A360D5A"/>
    <w:rsid w:val="4AAF12AD"/>
    <w:rsid w:val="4AD3165E"/>
    <w:rsid w:val="4B706B38"/>
    <w:rsid w:val="4B7C349A"/>
    <w:rsid w:val="4BAB4E74"/>
    <w:rsid w:val="4BDF697E"/>
    <w:rsid w:val="4D3439BB"/>
    <w:rsid w:val="4D6A23B1"/>
    <w:rsid w:val="4D8716E4"/>
    <w:rsid w:val="4EA45A7C"/>
    <w:rsid w:val="4EA94488"/>
    <w:rsid w:val="4F7A4340"/>
    <w:rsid w:val="507D631F"/>
    <w:rsid w:val="50B14280"/>
    <w:rsid w:val="50C06D15"/>
    <w:rsid w:val="511310EA"/>
    <w:rsid w:val="51247F23"/>
    <w:rsid w:val="514F78EB"/>
    <w:rsid w:val="515A3C47"/>
    <w:rsid w:val="516B4F8A"/>
    <w:rsid w:val="522E3AF3"/>
    <w:rsid w:val="524F711C"/>
    <w:rsid w:val="52D649AE"/>
    <w:rsid w:val="53065CF1"/>
    <w:rsid w:val="538C73F0"/>
    <w:rsid w:val="53AF7E20"/>
    <w:rsid w:val="53F328CC"/>
    <w:rsid w:val="543A0ED0"/>
    <w:rsid w:val="554E160C"/>
    <w:rsid w:val="559602A8"/>
    <w:rsid w:val="55F04F66"/>
    <w:rsid w:val="56435F3C"/>
    <w:rsid w:val="56535E1C"/>
    <w:rsid w:val="569D6E73"/>
    <w:rsid w:val="571A1273"/>
    <w:rsid w:val="571D7840"/>
    <w:rsid w:val="57882584"/>
    <w:rsid w:val="57E752E1"/>
    <w:rsid w:val="583A4F87"/>
    <w:rsid w:val="58910610"/>
    <w:rsid w:val="59086250"/>
    <w:rsid w:val="59CC77F9"/>
    <w:rsid w:val="59FC71D3"/>
    <w:rsid w:val="5A6772D5"/>
    <w:rsid w:val="5AC874B7"/>
    <w:rsid w:val="5B9D2575"/>
    <w:rsid w:val="5C635A25"/>
    <w:rsid w:val="5D82289B"/>
    <w:rsid w:val="5DDB1C26"/>
    <w:rsid w:val="5E530EA2"/>
    <w:rsid w:val="5E833210"/>
    <w:rsid w:val="5F22068A"/>
    <w:rsid w:val="5F573088"/>
    <w:rsid w:val="5F854BE1"/>
    <w:rsid w:val="5FFF7A41"/>
    <w:rsid w:val="60176687"/>
    <w:rsid w:val="606F6105"/>
    <w:rsid w:val="60B47590"/>
    <w:rsid w:val="60CC6D50"/>
    <w:rsid w:val="60F51603"/>
    <w:rsid w:val="60FC4390"/>
    <w:rsid w:val="6189118E"/>
    <w:rsid w:val="61E47D91"/>
    <w:rsid w:val="61F77B8A"/>
    <w:rsid w:val="62086752"/>
    <w:rsid w:val="6290795C"/>
    <w:rsid w:val="62990921"/>
    <w:rsid w:val="62C431E4"/>
    <w:rsid w:val="63224F5F"/>
    <w:rsid w:val="637E0A3F"/>
    <w:rsid w:val="63B40676"/>
    <w:rsid w:val="63BA4B02"/>
    <w:rsid w:val="63F07C5E"/>
    <w:rsid w:val="64B02B42"/>
    <w:rsid w:val="652B029B"/>
    <w:rsid w:val="65864A85"/>
    <w:rsid w:val="65CC1488"/>
    <w:rsid w:val="65DF2D2A"/>
    <w:rsid w:val="65FB0C00"/>
    <w:rsid w:val="667F281C"/>
    <w:rsid w:val="66B133AB"/>
    <w:rsid w:val="66FE7B1B"/>
    <w:rsid w:val="671928FA"/>
    <w:rsid w:val="67703C00"/>
    <w:rsid w:val="67E06102"/>
    <w:rsid w:val="691C7F33"/>
    <w:rsid w:val="6926638D"/>
    <w:rsid w:val="69386B5E"/>
    <w:rsid w:val="694E3BE5"/>
    <w:rsid w:val="696077C1"/>
    <w:rsid w:val="6A0B6144"/>
    <w:rsid w:val="6A464C05"/>
    <w:rsid w:val="6A481BAF"/>
    <w:rsid w:val="6A503C19"/>
    <w:rsid w:val="6A592648"/>
    <w:rsid w:val="6A7865FA"/>
    <w:rsid w:val="6AB51577"/>
    <w:rsid w:val="6ACA1C94"/>
    <w:rsid w:val="6B907ACA"/>
    <w:rsid w:val="6C080E2B"/>
    <w:rsid w:val="6C223D03"/>
    <w:rsid w:val="6C4358DC"/>
    <w:rsid w:val="6C630AAD"/>
    <w:rsid w:val="6C7804F7"/>
    <w:rsid w:val="6C865EAE"/>
    <w:rsid w:val="6CBC318C"/>
    <w:rsid w:val="6CC15FDE"/>
    <w:rsid w:val="6D03379A"/>
    <w:rsid w:val="6D0622FE"/>
    <w:rsid w:val="6D2F14DB"/>
    <w:rsid w:val="6D3445F8"/>
    <w:rsid w:val="6D9450E6"/>
    <w:rsid w:val="6DAF42F4"/>
    <w:rsid w:val="6DB26CA0"/>
    <w:rsid w:val="6DBD38DB"/>
    <w:rsid w:val="6DE30F6A"/>
    <w:rsid w:val="6E620C61"/>
    <w:rsid w:val="6EF459B7"/>
    <w:rsid w:val="6F5007C5"/>
    <w:rsid w:val="6F7A7AF2"/>
    <w:rsid w:val="6FB05621"/>
    <w:rsid w:val="703D62DD"/>
    <w:rsid w:val="70416F83"/>
    <w:rsid w:val="70B44AD3"/>
    <w:rsid w:val="70D13083"/>
    <w:rsid w:val="7131228E"/>
    <w:rsid w:val="72384F55"/>
    <w:rsid w:val="72403A2B"/>
    <w:rsid w:val="726F104E"/>
    <w:rsid w:val="72895CE5"/>
    <w:rsid w:val="729143C8"/>
    <w:rsid w:val="72C55528"/>
    <w:rsid w:val="735F346A"/>
    <w:rsid w:val="737231D0"/>
    <w:rsid w:val="739C3AEB"/>
    <w:rsid w:val="74E13A0C"/>
    <w:rsid w:val="74F37714"/>
    <w:rsid w:val="751A6BAC"/>
    <w:rsid w:val="76836C9F"/>
    <w:rsid w:val="7808518A"/>
    <w:rsid w:val="78941235"/>
    <w:rsid w:val="78AA14E1"/>
    <w:rsid w:val="790E16DD"/>
    <w:rsid w:val="79D97FEF"/>
    <w:rsid w:val="7A0B253A"/>
    <w:rsid w:val="7A1B703B"/>
    <w:rsid w:val="7A2A3AB5"/>
    <w:rsid w:val="7A303E6F"/>
    <w:rsid w:val="7A4F74D2"/>
    <w:rsid w:val="7A8C6F1D"/>
    <w:rsid w:val="7C192996"/>
    <w:rsid w:val="7C3A2A38"/>
    <w:rsid w:val="7C7874EA"/>
    <w:rsid w:val="7CDF4681"/>
    <w:rsid w:val="7CE128A8"/>
    <w:rsid w:val="7D1E2FAF"/>
    <w:rsid w:val="7D995844"/>
    <w:rsid w:val="7DDE21F1"/>
    <w:rsid w:val="7E9478FE"/>
    <w:rsid w:val="7ED251BF"/>
    <w:rsid w:val="7EEC4D29"/>
    <w:rsid w:val="7EF550A9"/>
    <w:rsid w:val="7F505A71"/>
    <w:rsid w:val="7F720BA9"/>
    <w:rsid w:val="7FC97618"/>
    <w:rsid w:val="7FDE5484"/>
    <w:rsid w:val="7FF51D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eastAsia="仿宋_GB2312" w:cs="仿宋_GB2312" w:asciiTheme="minorHAnsi" w:hAnsiTheme="minorHAnsi"/>
      <w:kern w:val="2"/>
      <w:sz w:val="32"/>
      <w:szCs w:val="22"/>
      <w:lang w:val="en-US" w:eastAsia="zh-CN" w:bidi="ar-SA"/>
    </w:rPr>
  </w:style>
  <w:style w:type="paragraph" w:styleId="4">
    <w:name w:val="heading 1"/>
    <w:basedOn w:val="1"/>
    <w:next w:val="1"/>
    <w:qFormat/>
    <w:uiPriority w:val="9"/>
    <w:pPr>
      <w:keepNext/>
      <w:keepLines/>
      <w:outlineLvl w:val="0"/>
    </w:pPr>
    <w:rPr>
      <w:rFonts w:eastAsia="黑体"/>
      <w:kern w:val="44"/>
    </w:rPr>
  </w:style>
  <w:style w:type="paragraph" w:styleId="5">
    <w:name w:val="heading 2"/>
    <w:basedOn w:val="1"/>
    <w:next w:val="1"/>
    <w:unhideWhenUsed/>
    <w:qFormat/>
    <w:uiPriority w:val="0"/>
    <w:pPr>
      <w:keepNext/>
      <w:keepLines/>
      <w:spacing w:line="413" w:lineRule="auto"/>
      <w:outlineLvl w:val="1"/>
    </w:pPr>
    <w:rPr>
      <w:rFonts w:ascii="Arial" w:hAnsi="Arial" w:eastAsia="黑体"/>
      <w:b/>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unhideWhenUsed/>
    <w:qFormat/>
    <w:uiPriority w:val="99"/>
    <w:pPr>
      <w:spacing w:after="120"/>
      <w:ind w:left="420" w:leftChars="200"/>
    </w:pPr>
  </w:style>
  <w:style w:type="paragraph" w:styleId="6">
    <w:name w:val="Normal Indent"/>
    <w:basedOn w:val="1"/>
    <w:semiHidden/>
    <w:unhideWhenUsed/>
    <w:qFormat/>
    <w:uiPriority w:val="99"/>
    <w:pPr>
      <w:ind w:firstLine="420"/>
    </w:pPr>
    <w:rPr>
      <w:szCs w:val="20"/>
    </w:rPr>
  </w:style>
  <w:style w:type="paragraph" w:styleId="7">
    <w:name w:val="Body Text"/>
    <w:basedOn w:val="1"/>
    <w:qFormat/>
    <w:uiPriority w:val="1"/>
    <w:rPr>
      <w:rFonts w:ascii="宋体" w:hAnsi="宋体" w:eastAsia="宋体" w:cs="宋体"/>
      <w:sz w:val="21"/>
      <w:szCs w:val="21"/>
      <w:lang w:val="hu-HU" w:eastAsia="hu-HU" w:bidi="hu-HU"/>
    </w:rPr>
  </w:style>
  <w:style w:type="paragraph" w:styleId="8">
    <w:name w:val="Plain Text"/>
    <w:basedOn w:val="1"/>
    <w:semiHidden/>
    <w:unhideWhenUsed/>
    <w:qFormat/>
    <w:uiPriority w:val="99"/>
    <w:rPr>
      <w:rFonts w:ascii="宋体" w:hAnsi="Courier New"/>
    </w:rPr>
  </w:style>
  <w:style w:type="paragraph" w:styleId="9">
    <w:name w:val="Balloon Text"/>
    <w:basedOn w:val="1"/>
    <w:link w:val="47"/>
    <w:qFormat/>
    <w:uiPriority w:val="0"/>
    <w:pPr>
      <w:spacing w:line="240" w:lineRule="auto"/>
    </w:pPr>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qFormat/>
    <w:uiPriority w:val="0"/>
  </w:style>
  <w:style w:type="paragraph" w:styleId="13">
    <w:name w:val="toc 2"/>
    <w:basedOn w:val="12"/>
    <w:next w:val="1"/>
    <w:qFormat/>
    <w:uiPriority w:val="0"/>
    <w:pPr>
      <w:ind w:left="420" w:leftChars="200"/>
    </w:pPr>
  </w:style>
  <w:style w:type="paragraph" w:styleId="14">
    <w:name w:val="Normal (Web)"/>
    <w:basedOn w:val="1"/>
    <w:qFormat/>
    <w:uiPriority w:val="0"/>
    <w:pPr>
      <w:spacing w:before="150" w:after="150"/>
      <w:jc w:val="left"/>
    </w:pPr>
    <w:rPr>
      <w:rFonts w:cs="Times New Roman"/>
      <w:kern w:val="0"/>
      <w:sz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qFormat/>
    <w:uiPriority w:val="0"/>
    <w:rPr>
      <w:color w:val="222222"/>
      <w:u w:val="none"/>
    </w:rPr>
  </w:style>
  <w:style w:type="character" w:styleId="19">
    <w:name w:val="Hyperlink"/>
    <w:basedOn w:val="17"/>
    <w:qFormat/>
    <w:uiPriority w:val="0"/>
    <w:rPr>
      <w:color w:val="222222"/>
      <w:u w:val="none"/>
    </w:rPr>
  </w:style>
  <w:style w:type="character" w:customStyle="1" w:styleId="20">
    <w:name w:val="标题1"/>
    <w:qFormat/>
    <w:uiPriority w:val="0"/>
    <w:rPr>
      <w:b/>
      <w:bCs/>
      <w:sz w:val="2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3">
    <w:name w:val="ui-area-common-c-i-l"/>
    <w:basedOn w:val="17"/>
    <w:qFormat/>
    <w:uiPriority w:val="0"/>
  </w:style>
  <w:style w:type="character" w:customStyle="1" w:styleId="24">
    <w:name w:val="ui-area-common-c-i-l1"/>
    <w:basedOn w:val="17"/>
    <w:qFormat/>
    <w:uiPriority w:val="0"/>
    <w:rPr>
      <w:color w:val="F30213"/>
    </w:rPr>
  </w:style>
  <w:style w:type="character" w:customStyle="1" w:styleId="25">
    <w:name w:val="ui-area-common-c-i-r"/>
    <w:basedOn w:val="17"/>
    <w:qFormat/>
    <w:uiPriority w:val="0"/>
  </w:style>
  <w:style w:type="character" w:customStyle="1" w:styleId="26">
    <w:name w:val="ui-area-common-c-i-r1"/>
    <w:basedOn w:val="17"/>
    <w:qFormat/>
    <w:uiPriority w:val="0"/>
    <w:rPr>
      <w:color w:val="F30213"/>
    </w:rPr>
  </w:style>
  <w:style w:type="paragraph" w:customStyle="1" w:styleId="27">
    <w:name w:val="Table Paragraph"/>
    <w:basedOn w:val="1"/>
    <w:qFormat/>
    <w:uiPriority w:val="1"/>
    <w:pPr>
      <w:jc w:val="center"/>
    </w:pPr>
  </w:style>
  <w:style w:type="character" w:customStyle="1" w:styleId="28">
    <w:name w:val="font81"/>
    <w:basedOn w:val="17"/>
    <w:qFormat/>
    <w:uiPriority w:val="0"/>
    <w:rPr>
      <w:rFonts w:hint="eastAsia" w:ascii="宋体" w:hAnsi="宋体" w:eastAsia="宋体" w:cs="宋体"/>
      <w:color w:val="000000"/>
      <w:sz w:val="22"/>
      <w:szCs w:val="22"/>
      <w:u w:val="none"/>
    </w:rPr>
  </w:style>
  <w:style w:type="character" w:customStyle="1" w:styleId="29">
    <w:name w:val="font51"/>
    <w:basedOn w:val="17"/>
    <w:qFormat/>
    <w:uiPriority w:val="0"/>
    <w:rPr>
      <w:rFonts w:hint="default" w:ascii="Times New Roman" w:hAnsi="Times New Roman" w:cs="Times New Roman"/>
      <w:color w:val="000000"/>
      <w:sz w:val="22"/>
      <w:szCs w:val="22"/>
      <w:u w:val="none"/>
    </w:rPr>
  </w:style>
  <w:style w:type="character" w:customStyle="1" w:styleId="30">
    <w:name w:val="font91"/>
    <w:basedOn w:val="17"/>
    <w:qFormat/>
    <w:uiPriority w:val="0"/>
    <w:rPr>
      <w:rFonts w:hint="default" w:ascii="Times New Roman" w:hAnsi="Times New Roman" w:cs="Times New Roman"/>
      <w:color w:val="000000"/>
      <w:sz w:val="22"/>
      <w:szCs w:val="22"/>
      <w:u w:val="none"/>
    </w:rPr>
  </w:style>
  <w:style w:type="character" w:customStyle="1" w:styleId="31">
    <w:name w:val="font101"/>
    <w:basedOn w:val="17"/>
    <w:qFormat/>
    <w:uiPriority w:val="0"/>
    <w:rPr>
      <w:rFonts w:hint="default" w:ascii="Times New Roman" w:hAnsi="Times New Roman" w:cs="Times New Roman"/>
      <w:color w:val="FF0000"/>
      <w:sz w:val="22"/>
      <w:szCs w:val="22"/>
      <w:u w:val="none"/>
    </w:rPr>
  </w:style>
  <w:style w:type="character" w:customStyle="1" w:styleId="32">
    <w:name w:val="font71"/>
    <w:basedOn w:val="17"/>
    <w:qFormat/>
    <w:uiPriority w:val="0"/>
    <w:rPr>
      <w:rFonts w:hint="eastAsia" w:ascii="宋体" w:hAnsi="宋体" w:eastAsia="宋体" w:cs="宋体"/>
      <w:color w:val="000000"/>
      <w:sz w:val="22"/>
      <w:szCs w:val="22"/>
      <w:u w:val="none"/>
    </w:rPr>
  </w:style>
  <w:style w:type="character" w:customStyle="1" w:styleId="33">
    <w:name w:val="font21"/>
    <w:basedOn w:val="17"/>
    <w:qFormat/>
    <w:uiPriority w:val="0"/>
    <w:rPr>
      <w:rFonts w:hint="eastAsia" w:ascii="宋体" w:hAnsi="宋体" w:eastAsia="宋体" w:cs="宋体"/>
      <w:color w:val="FF0000"/>
      <w:sz w:val="22"/>
      <w:szCs w:val="22"/>
      <w:u w:val="none"/>
    </w:rPr>
  </w:style>
  <w:style w:type="character" w:customStyle="1" w:styleId="34">
    <w:name w:val="font112"/>
    <w:basedOn w:val="17"/>
    <w:qFormat/>
    <w:uiPriority w:val="0"/>
    <w:rPr>
      <w:rFonts w:hint="eastAsia" w:ascii="宋体" w:hAnsi="宋体" w:eastAsia="宋体" w:cs="宋体"/>
      <w:color w:val="FF0000"/>
      <w:sz w:val="24"/>
      <w:szCs w:val="24"/>
      <w:u w:val="none"/>
    </w:rPr>
  </w:style>
  <w:style w:type="character" w:customStyle="1" w:styleId="35">
    <w:name w:val="font121"/>
    <w:basedOn w:val="17"/>
    <w:qFormat/>
    <w:uiPriority w:val="0"/>
    <w:rPr>
      <w:rFonts w:hint="default" w:ascii="Times New Roman" w:hAnsi="Times New Roman" w:cs="Times New Roman"/>
      <w:color w:val="FF0000"/>
      <w:sz w:val="24"/>
      <w:szCs w:val="24"/>
      <w:u w:val="none"/>
    </w:rPr>
  </w:style>
  <w:style w:type="character" w:customStyle="1" w:styleId="36">
    <w:name w:val="font11"/>
    <w:basedOn w:val="17"/>
    <w:qFormat/>
    <w:uiPriority w:val="0"/>
    <w:rPr>
      <w:rFonts w:hint="eastAsia" w:ascii="宋体" w:hAnsi="宋体" w:eastAsia="宋体" w:cs="宋体"/>
      <w:color w:val="000000"/>
      <w:sz w:val="22"/>
      <w:szCs w:val="22"/>
      <w:u w:val="none"/>
    </w:rPr>
  </w:style>
  <w:style w:type="character" w:customStyle="1" w:styleId="37">
    <w:name w:val="font131"/>
    <w:basedOn w:val="17"/>
    <w:qFormat/>
    <w:uiPriority w:val="0"/>
    <w:rPr>
      <w:rFonts w:hint="default" w:ascii="Times New Roman" w:hAnsi="Times New Roman" w:cs="Times New Roman"/>
      <w:color w:val="000000"/>
      <w:sz w:val="21"/>
      <w:szCs w:val="21"/>
      <w:u w:val="none"/>
    </w:rPr>
  </w:style>
  <w:style w:type="character" w:customStyle="1" w:styleId="38">
    <w:name w:val="font41"/>
    <w:basedOn w:val="17"/>
    <w:qFormat/>
    <w:uiPriority w:val="0"/>
    <w:rPr>
      <w:rFonts w:hint="eastAsia" w:ascii="宋体" w:hAnsi="宋体" w:eastAsia="宋体" w:cs="宋体"/>
      <w:color w:val="000000"/>
      <w:sz w:val="21"/>
      <w:szCs w:val="21"/>
      <w:u w:val="none"/>
    </w:rPr>
  </w:style>
  <w:style w:type="character" w:customStyle="1" w:styleId="39">
    <w:name w:val="font141"/>
    <w:basedOn w:val="17"/>
    <w:qFormat/>
    <w:uiPriority w:val="0"/>
    <w:rPr>
      <w:rFonts w:hint="eastAsia" w:ascii="宋体" w:hAnsi="宋体" w:eastAsia="宋体" w:cs="宋体"/>
      <w:color w:val="FF0000"/>
      <w:sz w:val="22"/>
      <w:szCs w:val="22"/>
      <w:u w:val="none"/>
    </w:rPr>
  </w:style>
  <w:style w:type="paragraph" w:styleId="40">
    <w:name w:val="List Paragraph"/>
    <w:basedOn w:val="1"/>
    <w:qFormat/>
    <w:uiPriority w:val="34"/>
    <w:pPr>
      <w:ind w:firstLine="420"/>
    </w:pPr>
    <w:rPr>
      <w:kern w:val="0"/>
      <w:sz w:val="20"/>
    </w:rPr>
  </w:style>
  <w:style w:type="character" w:customStyle="1" w:styleId="41">
    <w:name w:val="font31"/>
    <w:basedOn w:val="17"/>
    <w:qFormat/>
    <w:uiPriority w:val="0"/>
    <w:rPr>
      <w:rFonts w:hint="eastAsia" w:ascii="宋体" w:hAnsi="宋体" w:eastAsia="宋体" w:cs="宋体"/>
      <w:color w:val="000000"/>
      <w:sz w:val="22"/>
      <w:szCs w:val="22"/>
      <w:u w:val="none"/>
    </w:rPr>
  </w:style>
  <w:style w:type="character" w:customStyle="1" w:styleId="42">
    <w:name w:val="font151"/>
    <w:basedOn w:val="17"/>
    <w:qFormat/>
    <w:uiPriority w:val="0"/>
    <w:rPr>
      <w:rFonts w:hint="eastAsia" w:ascii="宋体" w:hAnsi="宋体" w:eastAsia="宋体" w:cs="宋体"/>
      <w:color w:val="FF0000"/>
      <w:sz w:val="24"/>
      <w:szCs w:val="24"/>
      <w:u w:val="none"/>
    </w:rPr>
  </w:style>
  <w:style w:type="character" w:customStyle="1" w:styleId="43">
    <w:name w:val="font161"/>
    <w:basedOn w:val="17"/>
    <w:qFormat/>
    <w:uiPriority w:val="0"/>
    <w:rPr>
      <w:rFonts w:hint="default" w:ascii="Times New Roman" w:hAnsi="Times New Roman" w:cs="Times New Roman"/>
      <w:color w:val="FF0000"/>
      <w:sz w:val="24"/>
      <w:szCs w:val="24"/>
      <w:u w:val="none"/>
    </w:rPr>
  </w:style>
  <w:style w:type="character" w:customStyle="1" w:styleId="44">
    <w:name w:val="font171"/>
    <w:basedOn w:val="17"/>
    <w:qFormat/>
    <w:uiPriority w:val="0"/>
    <w:rPr>
      <w:rFonts w:hint="default" w:ascii="Times New Roman" w:hAnsi="Times New Roman" w:cs="Times New Roman"/>
      <w:color w:val="000000"/>
      <w:sz w:val="21"/>
      <w:szCs w:val="21"/>
      <w:u w:val="none"/>
    </w:rPr>
  </w:style>
  <w:style w:type="character" w:customStyle="1" w:styleId="45">
    <w:name w:val="font181"/>
    <w:basedOn w:val="17"/>
    <w:qFormat/>
    <w:uiPriority w:val="0"/>
    <w:rPr>
      <w:rFonts w:hint="eastAsia" w:ascii="宋体" w:hAnsi="宋体" w:eastAsia="宋体" w:cs="宋体"/>
      <w:color w:val="000000"/>
      <w:sz w:val="22"/>
      <w:szCs w:val="22"/>
      <w:u w:val="none"/>
    </w:rPr>
  </w:style>
  <w:style w:type="character" w:customStyle="1" w:styleId="46">
    <w:name w:val="font191"/>
    <w:basedOn w:val="17"/>
    <w:qFormat/>
    <w:uiPriority w:val="0"/>
    <w:rPr>
      <w:rFonts w:hint="default" w:ascii="Times New Roman" w:hAnsi="Times New Roman" w:cs="Times New Roman"/>
      <w:color w:val="000000"/>
      <w:sz w:val="22"/>
      <w:szCs w:val="22"/>
      <w:u w:val="none"/>
    </w:rPr>
  </w:style>
  <w:style w:type="character" w:customStyle="1" w:styleId="47">
    <w:name w:val="批注框文本 Char"/>
    <w:basedOn w:val="17"/>
    <w:link w:val="9"/>
    <w:qFormat/>
    <w:uiPriority w:val="0"/>
    <w:rPr>
      <w:rFonts w:eastAsia="仿宋_GB2312" w:cs="仿宋_GB2312" w:asciiTheme="minorHAnsi" w:hAnsiTheme="minorHAns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emf"/><Relationship Id="rId36" Type="http://schemas.openxmlformats.org/officeDocument/2006/relationships/image" Target="media/image24.emf"/><Relationship Id="rId35" Type="http://schemas.openxmlformats.org/officeDocument/2006/relationships/image" Target="media/image23.emf"/><Relationship Id="rId34" Type="http://schemas.openxmlformats.org/officeDocument/2006/relationships/image" Target="media/image22.emf"/><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emf"/><Relationship Id="rId3" Type="http://schemas.openxmlformats.org/officeDocument/2006/relationships/header" Target="header1.xml"/><Relationship Id="rId29" Type="http://schemas.openxmlformats.org/officeDocument/2006/relationships/image" Target="media/image17.emf"/><Relationship Id="rId28" Type="http://schemas.openxmlformats.org/officeDocument/2006/relationships/image" Target="media/image16.emf"/><Relationship Id="rId27" Type="http://schemas.openxmlformats.org/officeDocument/2006/relationships/image" Target="media/image15.emf"/><Relationship Id="rId26" Type="http://schemas.openxmlformats.org/officeDocument/2006/relationships/image" Target="media/image14.emf"/><Relationship Id="rId25" Type="http://schemas.openxmlformats.org/officeDocument/2006/relationships/image" Target="media/image13.emf"/><Relationship Id="rId24" Type="http://schemas.openxmlformats.org/officeDocument/2006/relationships/image" Target="media/image12.emf"/><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wmf"/><Relationship Id="rId17" Type="http://schemas.openxmlformats.org/officeDocument/2006/relationships/image" Target="media/image5.wmf"/><Relationship Id="rId16" Type="http://schemas.openxmlformats.org/officeDocument/2006/relationships/image" Target="media/image4.jpeg"/><Relationship Id="rId15" Type="http://schemas.openxmlformats.org/officeDocument/2006/relationships/image" Target="media/image3.wmf"/><Relationship Id="rId14" Type="http://schemas.openxmlformats.org/officeDocument/2006/relationships/image" Target="media/image2.wmf"/><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4611</Words>
  <Characters>26289</Characters>
  <Lines>219</Lines>
  <Paragraphs>61</Paragraphs>
  <TotalTime>0</TotalTime>
  <ScaleCrop>false</ScaleCrop>
  <LinksUpToDate>false</LinksUpToDate>
  <CharactersWithSpaces>30839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2021-02-08T03:13:00Z</dcterms:created>
  <dc:creator>陈逸惠</dc:creator>
  <cp:lastModifiedBy>ChildrenWu</cp:lastModifiedBy>
  <cp:lastPrinted>2022-03-29T08:18:00Z</cp:lastPrinted>
  <dcterms:modified xsi:type="dcterms:W3CDTF">2022-04-01T08:58:21Z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94588BB7243A40F8BC0401C3281D426E</vt:lpwstr>
  </property>
</Properties>
</file>