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p>
    <w:p>
      <w:pPr>
        <w:spacing w:before="156" w:beforeLines="50" w:line="360" w:lineRule="auto"/>
        <w:jc w:val="center"/>
        <w:rPr>
          <w:rFonts w:ascii="宋体" w:hAnsi="宋体" w:cs="宋体"/>
          <w:b/>
          <w:bCs/>
          <w:sz w:val="36"/>
          <w:szCs w:val="36"/>
        </w:rPr>
      </w:pPr>
      <w:r>
        <w:rPr>
          <w:rFonts w:hint="eastAsia" w:ascii="宋体" w:hAnsi="宋体" w:cs="宋体"/>
          <w:b/>
          <w:bCs/>
          <w:sz w:val="36"/>
          <w:szCs w:val="36"/>
        </w:rPr>
        <w:t>金华-义乌-东阳市域轨道交通工程运营保险经纪服务项目</w:t>
      </w:r>
    </w:p>
    <w:p>
      <w:pPr>
        <w:pStyle w:val="7"/>
        <w:tabs>
          <w:tab w:val="left" w:pos="10980"/>
        </w:tabs>
        <w:spacing w:before="156" w:beforeLines="50" w:after="156" w:afterLines="50" w:line="360" w:lineRule="auto"/>
        <w:jc w:val="center"/>
        <w:rPr>
          <w:rFonts w:hint="eastAsia" w:hAnsi="宋体" w:cs="仿宋_GB2312"/>
          <w:szCs w:val="21"/>
        </w:rPr>
      </w:pPr>
      <w:r>
        <w:rPr>
          <w:rFonts w:hint="eastAsia" w:ascii="Times New Roman" w:hAnsi="Times New Roman"/>
          <w:b/>
          <w:sz w:val="28"/>
          <w:szCs w:val="28"/>
        </w:rPr>
        <w:t>第三章 招标项目需求</w:t>
      </w:r>
    </w:p>
    <w:p>
      <w:pPr>
        <w:pStyle w:val="3"/>
        <w:spacing w:line="360" w:lineRule="auto"/>
        <w:rPr>
          <w:rFonts w:ascii="宋体" w:hAnsi="宋体"/>
          <w:sz w:val="21"/>
          <w:szCs w:val="21"/>
        </w:rPr>
      </w:pPr>
      <w:bookmarkStart w:id="0" w:name="_Toc11383"/>
      <w:r>
        <w:rPr>
          <w:rFonts w:hint="eastAsia" w:ascii="宋体" w:hAnsi="宋体"/>
          <w:sz w:val="21"/>
          <w:szCs w:val="21"/>
        </w:rPr>
        <w:t>一、项目需求</w:t>
      </w:r>
      <w:bookmarkEnd w:id="0"/>
    </w:p>
    <w:p>
      <w:pPr>
        <w:pStyle w:val="11"/>
        <w:spacing w:line="360" w:lineRule="auto"/>
        <w:ind w:firstLineChars="200"/>
        <w:rPr>
          <w:rFonts w:ascii="宋体" w:hAnsi="宋体" w:cs="仿宋_GB2312"/>
          <w:szCs w:val="21"/>
        </w:rPr>
      </w:pPr>
      <w:r>
        <w:rPr>
          <w:rFonts w:hint="eastAsia" w:ascii="宋体" w:hAnsi="宋体" w:cs="仿宋_GB2312"/>
          <w:szCs w:val="21"/>
        </w:rPr>
        <w:t>保险经纪公司作为投保人的风险管理顾问,能够为招标人提供更加专业的日常风险管理，</w:t>
      </w:r>
      <w:r>
        <w:rPr>
          <w:rFonts w:ascii="宋体" w:hAnsi="宋体" w:cs="仿宋_GB2312"/>
          <w:szCs w:val="21"/>
        </w:rPr>
        <w:t>协助</w:t>
      </w:r>
      <w:r>
        <w:rPr>
          <w:rFonts w:hint="eastAsia" w:ascii="宋体" w:hAnsi="宋体" w:cs="仿宋_GB2312"/>
          <w:szCs w:val="21"/>
        </w:rPr>
        <w:t>招标人设计</w:t>
      </w:r>
      <w:r>
        <w:rPr>
          <w:rFonts w:ascii="宋体" w:hAnsi="宋体" w:cs="仿宋_GB2312"/>
          <w:szCs w:val="21"/>
        </w:rPr>
        <w:t>合理的保险方案</w:t>
      </w:r>
      <w:r>
        <w:rPr>
          <w:rFonts w:hint="eastAsia" w:ascii="宋体" w:hAnsi="宋体" w:cs="仿宋_GB2312"/>
          <w:szCs w:val="21"/>
        </w:rPr>
        <w:t>，譬如险种及免赔额组合、选择扩展条款等，</w:t>
      </w:r>
      <w:r>
        <w:rPr>
          <w:rFonts w:ascii="宋体" w:hAnsi="宋体" w:cs="仿宋_GB2312"/>
          <w:szCs w:val="21"/>
        </w:rPr>
        <w:t>协助</w:t>
      </w:r>
      <w:r>
        <w:rPr>
          <w:rFonts w:hint="eastAsia" w:ascii="宋体" w:hAnsi="宋体" w:cs="仿宋_GB2312"/>
          <w:szCs w:val="21"/>
        </w:rPr>
        <w:t>招标人</w:t>
      </w:r>
      <w:r>
        <w:rPr>
          <w:rFonts w:ascii="宋体" w:hAnsi="宋体" w:cs="仿宋_GB2312"/>
          <w:szCs w:val="21"/>
        </w:rPr>
        <w:t>按保险方案进行保险</w:t>
      </w:r>
      <w:r>
        <w:rPr>
          <w:rFonts w:hint="eastAsia" w:ascii="宋体" w:hAnsi="宋体" w:cs="仿宋_GB2312"/>
          <w:szCs w:val="21"/>
        </w:rPr>
        <w:t>公司</w:t>
      </w:r>
      <w:r>
        <w:rPr>
          <w:rFonts w:ascii="宋体" w:hAnsi="宋体" w:cs="仿宋_GB2312"/>
          <w:szCs w:val="21"/>
        </w:rPr>
        <w:t>招标和竞争性谈判</w:t>
      </w:r>
      <w:r>
        <w:rPr>
          <w:rFonts w:hint="eastAsia" w:ascii="宋体" w:hAnsi="宋体" w:cs="仿宋_GB2312"/>
          <w:szCs w:val="21"/>
        </w:rPr>
        <w:t>，协助投保公司保险索赔，</w:t>
      </w:r>
      <w:r>
        <w:rPr>
          <w:rFonts w:ascii="宋体" w:hAnsi="宋体" w:cs="仿宋_GB2312"/>
          <w:szCs w:val="21"/>
        </w:rPr>
        <w:t>为</w:t>
      </w:r>
      <w:r>
        <w:rPr>
          <w:rFonts w:hint="eastAsia" w:ascii="宋体" w:hAnsi="宋体" w:cs="仿宋_GB2312"/>
          <w:szCs w:val="21"/>
        </w:rPr>
        <w:t>招标人</w:t>
      </w:r>
      <w:r>
        <w:rPr>
          <w:rFonts w:ascii="宋体" w:hAnsi="宋体" w:cs="仿宋_GB2312"/>
          <w:szCs w:val="21"/>
        </w:rPr>
        <w:t>争取最大的风险转移保障</w:t>
      </w:r>
      <w:r>
        <w:rPr>
          <w:rFonts w:hint="eastAsia" w:ascii="宋体" w:hAnsi="宋体" w:cs="仿宋_GB2312"/>
          <w:szCs w:val="21"/>
        </w:rPr>
        <w:t>。</w:t>
      </w:r>
    </w:p>
    <w:p>
      <w:pPr>
        <w:pStyle w:val="3"/>
        <w:spacing w:line="360" w:lineRule="auto"/>
        <w:rPr>
          <w:rFonts w:ascii="宋体" w:hAnsi="宋体"/>
          <w:sz w:val="21"/>
          <w:szCs w:val="21"/>
        </w:rPr>
      </w:pPr>
      <w:bookmarkStart w:id="1" w:name="_Toc21233"/>
      <w:r>
        <w:rPr>
          <w:rFonts w:hint="eastAsia" w:ascii="宋体" w:hAnsi="宋体"/>
          <w:sz w:val="21"/>
          <w:szCs w:val="21"/>
        </w:rPr>
        <w:t>二、项目概况</w:t>
      </w:r>
      <w:bookmarkEnd w:id="1"/>
    </w:p>
    <w:p>
      <w:pPr>
        <w:pStyle w:val="11"/>
        <w:spacing w:line="360" w:lineRule="auto"/>
        <w:ind w:firstLineChars="200"/>
        <w:rPr>
          <w:rFonts w:ascii="宋体" w:hAnsi="宋体" w:cs="仿宋_GB2312"/>
          <w:szCs w:val="21"/>
        </w:rPr>
      </w:pPr>
      <w:r>
        <w:rPr>
          <w:rFonts w:hint="eastAsia" w:ascii="宋体" w:hAnsi="宋体" w:cs="仿宋_GB2312"/>
          <w:szCs w:val="21"/>
        </w:rPr>
        <w:t>金义段起于金华火车站，沿双龙南街-李渔东路-站前路-金华火车南站-金义新区规划新城路-规划国贸大道二期-国贸大道一期，止于义乌市秦塘站。线路终点预留远期向东北延伸至苏溪的条件。线路总长58.396km，其中地下线13.276 km，过渡段(不含下穿铁路节点)长约1.8km，下穿铁路过渡段长约1.02km(金华南站至塘雅站区间下穿长约470m，东华街站至义亭站区间下穿长约550m)，高架线长约42.3km。全线共设站17座（其中塘雅车联段站为新增车站），其中地下站6座，分别是金华站、双溪西路站、八一街站、万达广场站、金华南站和秦塘站；高架站11座，因开行大站快车的需要，设越行车站3座，分别是大堰河街站、东华街站、稠江站；最大站间距为9986m，位于金华南站至塘雅站区间，最小站间距为1550m，位于塘雅站至塘雅车辆段站区间。金义段设换乘站5座，分别是金华站、金华南站与远期金兰线换乘；八一南街站与远期婺城线及八一街线换乘；官塘站与规划义乌4号线换乘；秦塘站与义东段形成双岛四线同台换乘。</w:t>
      </w:r>
    </w:p>
    <w:p>
      <w:pPr>
        <w:pStyle w:val="11"/>
        <w:spacing w:line="360" w:lineRule="auto"/>
        <w:ind w:firstLineChars="200"/>
        <w:rPr>
          <w:rFonts w:ascii="宋体" w:hAnsi="宋体" w:cs="仿宋_GB2312"/>
          <w:szCs w:val="21"/>
        </w:rPr>
      </w:pPr>
      <w:r>
        <w:rPr>
          <w:rFonts w:hint="eastAsia" w:ascii="宋体" w:hAnsi="宋体" w:cs="仿宋_GB2312"/>
          <w:szCs w:val="21"/>
        </w:rPr>
        <w:t>该线共设一段一场，在塘雅站附近设塘雅车辆段、在官塘站附近设停车场（暂不投入使用）。计划于2021年</w:t>
      </w:r>
      <w:r>
        <w:rPr>
          <w:rFonts w:ascii="宋体" w:hAnsi="宋体" w:cs="仿宋_GB2312"/>
          <w:szCs w:val="21"/>
        </w:rPr>
        <w:t>6</w:t>
      </w:r>
      <w:r>
        <w:rPr>
          <w:rFonts w:hint="eastAsia" w:ascii="宋体" w:hAnsi="宋体" w:cs="仿宋_GB2312"/>
          <w:szCs w:val="21"/>
        </w:rPr>
        <w:t>月底开通试运行。</w:t>
      </w:r>
    </w:p>
    <w:p>
      <w:pPr>
        <w:pStyle w:val="11"/>
        <w:spacing w:line="360" w:lineRule="auto"/>
        <w:ind w:firstLineChars="200"/>
        <w:rPr>
          <w:rFonts w:ascii="宋体" w:hAnsi="宋体" w:cs="仿宋_GB2312"/>
          <w:szCs w:val="21"/>
        </w:rPr>
      </w:pPr>
      <w:r>
        <w:rPr>
          <w:rFonts w:hint="eastAsia" w:ascii="宋体" w:hAnsi="宋体" w:cs="仿宋_GB2312"/>
          <w:szCs w:val="21"/>
        </w:rPr>
        <w:t>义东段线路起于义乌火车站，沿宗泽路—国贸大道—商城大道—阳光大道—世贸大道—兴平路—迎宾大道—东阳横店高铁站—40省道—万盛北街—横店环城北路敷设，止于横店客运中心站。义东段起点预留近期向北延伸至浦江的条件。</w:t>
      </w:r>
    </w:p>
    <w:p>
      <w:pPr>
        <w:pStyle w:val="11"/>
        <w:spacing w:line="360" w:lineRule="auto"/>
        <w:ind w:firstLineChars="200"/>
        <w:rPr>
          <w:rFonts w:ascii="宋体" w:hAnsi="宋体" w:cs="仿宋_GB2312"/>
          <w:szCs w:val="21"/>
        </w:rPr>
      </w:pPr>
      <w:r>
        <w:rPr>
          <w:rFonts w:hint="eastAsia" w:ascii="宋体" w:hAnsi="宋体" w:cs="仿宋_GB2312"/>
          <w:szCs w:val="21"/>
        </w:rPr>
        <w:t>义东线总长48.774km，地下线12.944km，高架线长31.82km，山岭隧道2.465km，过渡段长度1.545km。义东段全线共设站15座，其中，一期工程共设站14座，地下站7座，分别是义乌火车站、秦塘站、国际商贸城站、浙大附属医院站、八华南路站、人民路站和横店高铁站；高架站8座。平均站间距约3.45km。本段线路最大站间距为7378.242m，位于东阳横店高铁站～明清宫站区间；最小站间距为1637.982m，位于秦塘站～国际商贸城站区间。义东段设换乘站3座，分别是上里角站、秦塘站，浙大附属医院站。上里角站与规划义乌轨道交通4号线换乘衔接，义东段在秦塘站与金义段换乘衔接，换乘方式采用双岛四线平行换乘；在浙大附属医院站与规划义乌轨道交通3号线形成通道换乘。</w:t>
      </w:r>
    </w:p>
    <w:p>
      <w:pPr>
        <w:pStyle w:val="11"/>
        <w:spacing w:line="360" w:lineRule="auto"/>
        <w:ind w:firstLineChars="200"/>
        <w:rPr>
          <w:rFonts w:ascii="宋体" w:hAnsi="宋体" w:cs="仿宋_GB2312"/>
          <w:szCs w:val="21"/>
        </w:rPr>
      </w:pPr>
      <w:r>
        <w:rPr>
          <w:rFonts w:hint="eastAsia" w:ascii="宋体" w:hAnsi="宋体" w:cs="仿宋_GB2312"/>
          <w:szCs w:val="21"/>
        </w:rPr>
        <w:t>全线设两座停车场，横店高铁站附近设槐堂停车场，在义乌高铁站附近设停车场。计划于2022年7月1日开通试运行。</w:t>
      </w:r>
    </w:p>
    <w:p>
      <w:pPr>
        <w:pStyle w:val="3"/>
        <w:spacing w:line="360" w:lineRule="auto"/>
        <w:rPr>
          <w:rFonts w:ascii="宋体" w:hAnsi="宋体"/>
          <w:sz w:val="21"/>
          <w:szCs w:val="21"/>
        </w:rPr>
      </w:pPr>
      <w:bookmarkStart w:id="2" w:name="_Toc18531"/>
      <w:r>
        <w:rPr>
          <w:rFonts w:hint="eastAsia" w:ascii="宋体" w:hAnsi="宋体"/>
          <w:sz w:val="21"/>
          <w:szCs w:val="21"/>
        </w:rPr>
        <w:t>三、保险经纪服务范围</w:t>
      </w:r>
      <w:bookmarkEnd w:id="2"/>
    </w:p>
    <w:p>
      <w:pPr>
        <w:pStyle w:val="4"/>
        <w:ind w:firstLine="280"/>
        <w:rPr>
          <w:rFonts w:ascii="宋体" w:hAnsi="宋体"/>
          <w:sz w:val="21"/>
          <w:szCs w:val="21"/>
        </w:rPr>
      </w:pPr>
      <w:bookmarkStart w:id="3" w:name="_Toc10971"/>
      <w:r>
        <w:rPr>
          <w:rFonts w:hint="eastAsia" w:ascii="宋体" w:hAnsi="宋体"/>
          <w:sz w:val="21"/>
          <w:szCs w:val="21"/>
        </w:rPr>
        <w:t>（一）</w:t>
      </w:r>
      <w:r>
        <w:rPr>
          <w:rFonts w:ascii="宋体" w:hAnsi="宋体"/>
          <w:sz w:val="21"/>
          <w:szCs w:val="21"/>
        </w:rPr>
        <w:t>项目范围</w:t>
      </w:r>
      <w:bookmarkEnd w:id="3"/>
    </w:p>
    <w:p>
      <w:pPr>
        <w:pStyle w:val="11"/>
        <w:spacing w:line="360" w:lineRule="auto"/>
        <w:ind w:firstLineChars="200"/>
        <w:rPr>
          <w:rFonts w:ascii="宋体" w:hAnsi="宋体" w:cs="仿宋_GB2312"/>
          <w:szCs w:val="21"/>
        </w:rPr>
      </w:pPr>
      <w:r>
        <w:rPr>
          <w:rFonts w:hint="eastAsia" w:ascii="宋体" w:hAnsi="宋体" w:cs="仿宋_GB2312"/>
          <w:szCs w:val="21"/>
        </w:rPr>
        <w:t>金华-义乌-东阳市域轨道交通工程金义段和义东段</w:t>
      </w:r>
      <w:r>
        <w:rPr>
          <w:rFonts w:ascii="宋体" w:hAnsi="宋体" w:cs="仿宋_GB2312"/>
          <w:szCs w:val="21"/>
        </w:rPr>
        <w:t>运营保险经纪服务项目。</w:t>
      </w:r>
    </w:p>
    <w:p>
      <w:pPr>
        <w:pStyle w:val="4"/>
        <w:ind w:firstLine="280"/>
        <w:rPr>
          <w:rFonts w:ascii="宋体" w:hAnsi="宋体"/>
          <w:sz w:val="21"/>
          <w:szCs w:val="21"/>
        </w:rPr>
      </w:pPr>
      <w:r>
        <w:rPr>
          <w:rFonts w:hint="eastAsia" w:ascii="宋体" w:hAnsi="宋体"/>
          <w:sz w:val="21"/>
          <w:szCs w:val="21"/>
        </w:rPr>
        <w:t>（二）服务期限</w:t>
      </w:r>
    </w:p>
    <w:p>
      <w:pPr>
        <w:pStyle w:val="2"/>
        <w:spacing w:line="360" w:lineRule="auto"/>
        <w:ind w:firstLineChars="200"/>
        <w:rPr>
          <w:rFonts w:hint="eastAsia" w:ascii="宋体" w:hAnsi="宋体" w:cs="仿宋_GB2312"/>
          <w:szCs w:val="21"/>
        </w:rPr>
      </w:pPr>
      <w:r>
        <w:rPr>
          <w:rFonts w:hint="eastAsia" w:ascii="宋体" w:hAnsi="宋体" w:cs="仿宋_GB2312"/>
          <w:szCs w:val="21"/>
        </w:rPr>
        <w:t>自签订合同之日起至 2023 年 12 月 31 日止，服务期内发生且服务期结束后仍存在未解决的问题，与本合同相关的保险经纪工作须持续到最终处理完毕为止。</w:t>
      </w:r>
    </w:p>
    <w:p>
      <w:pPr>
        <w:pStyle w:val="4"/>
        <w:ind w:firstLine="280"/>
        <w:rPr>
          <w:rFonts w:ascii="宋体" w:hAnsi="宋体"/>
          <w:sz w:val="21"/>
          <w:szCs w:val="21"/>
        </w:rPr>
      </w:pPr>
      <w:bookmarkStart w:id="4" w:name="_Toc697"/>
      <w:r>
        <w:rPr>
          <w:rFonts w:hint="eastAsia" w:ascii="宋体" w:hAnsi="宋体"/>
          <w:sz w:val="21"/>
          <w:szCs w:val="21"/>
        </w:rPr>
        <w:t>（三）</w:t>
      </w:r>
      <w:r>
        <w:rPr>
          <w:rFonts w:ascii="宋体" w:hAnsi="宋体"/>
          <w:sz w:val="21"/>
          <w:szCs w:val="21"/>
        </w:rPr>
        <w:t>服务内容</w:t>
      </w:r>
      <w:bookmarkEnd w:id="4"/>
    </w:p>
    <w:p>
      <w:pPr>
        <w:pStyle w:val="5"/>
        <w:spacing w:line="360" w:lineRule="auto"/>
        <w:ind w:firstLine="560"/>
        <w:rPr>
          <w:rFonts w:ascii="宋体" w:hAnsi="宋体"/>
          <w:sz w:val="21"/>
          <w:szCs w:val="21"/>
        </w:rPr>
      </w:pPr>
      <w:bookmarkStart w:id="5" w:name="_Toc26174"/>
      <w:r>
        <w:rPr>
          <w:rFonts w:hint="eastAsia" w:ascii="宋体" w:hAnsi="宋体"/>
          <w:sz w:val="21"/>
          <w:szCs w:val="21"/>
        </w:rPr>
        <w:t>1</w:t>
      </w:r>
      <w:r>
        <w:rPr>
          <w:rFonts w:ascii="宋体" w:hAnsi="宋体"/>
          <w:sz w:val="21"/>
          <w:szCs w:val="21"/>
        </w:rPr>
        <w:t>.风险评估</w:t>
      </w:r>
      <w:bookmarkEnd w:id="5"/>
    </w:p>
    <w:p>
      <w:pPr>
        <w:pStyle w:val="11"/>
        <w:spacing w:line="360" w:lineRule="auto"/>
        <w:ind w:firstLineChars="200"/>
        <w:rPr>
          <w:rFonts w:ascii="宋体" w:hAnsi="宋体" w:cs="仿宋_GB2312"/>
          <w:szCs w:val="21"/>
        </w:rPr>
      </w:pPr>
      <w:r>
        <w:rPr>
          <w:rFonts w:ascii="宋体" w:hAnsi="宋体" w:cs="仿宋_GB2312"/>
          <w:szCs w:val="21"/>
        </w:rPr>
        <w:t>组织专业技术人员学习研究项目情况，全面掌握</w:t>
      </w:r>
      <w:r>
        <w:rPr>
          <w:rFonts w:hint="eastAsia" w:ascii="宋体" w:hAnsi="宋体" w:cs="仿宋_GB2312"/>
          <w:szCs w:val="21"/>
        </w:rPr>
        <w:t>招标人</w:t>
      </w:r>
      <w:r>
        <w:rPr>
          <w:rFonts w:ascii="宋体" w:hAnsi="宋体" w:cs="仿宋_GB2312"/>
          <w:szCs w:val="21"/>
        </w:rPr>
        <w:t>所面临的风险及已采取的风险管理措施，根据行业经验并参考国际国内历史数据，提交风险评估报告，向</w:t>
      </w:r>
      <w:r>
        <w:rPr>
          <w:rFonts w:hint="eastAsia" w:ascii="宋体" w:hAnsi="宋体" w:cs="仿宋_GB2312"/>
          <w:szCs w:val="21"/>
        </w:rPr>
        <w:t>招标人</w:t>
      </w:r>
      <w:r>
        <w:rPr>
          <w:rFonts w:ascii="宋体" w:hAnsi="宋体" w:cs="仿宋_GB2312"/>
          <w:szCs w:val="21"/>
        </w:rPr>
        <w:t>提供风险管控建议，并向保险人、再保人详细解说风险情况及防范对策。</w:t>
      </w:r>
    </w:p>
    <w:p>
      <w:pPr>
        <w:pStyle w:val="5"/>
        <w:spacing w:line="360" w:lineRule="auto"/>
        <w:ind w:firstLine="560"/>
        <w:rPr>
          <w:rFonts w:ascii="宋体" w:hAnsi="宋体"/>
          <w:sz w:val="21"/>
          <w:szCs w:val="21"/>
        </w:rPr>
      </w:pPr>
      <w:bookmarkStart w:id="6" w:name="_Toc32641"/>
      <w:r>
        <w:rPr>
          <w:rFonts w:hint="eastAsia" w:ascii="宋体" w:hAnsi="宋体"/>
          <w:sz w:val="21"/>
          <w:szCs w:val="21"/>
        </w:rPr>
        <w:t>2</w:t>
      </w:r>
      <w:r>
        <w:rPr>
          <w:rFonts w:ascii="宋体" w:hAnsi="宋体"/>
          <w:sz w:val="21"/>
          <w:szCs w:val="21"/>
        </w:rPr>
        <w:t>.保险方案设计</w:t>
      </w:r>
      <w:bookmarkEnd w:id="6"/>
    </w:p>
    <w:p>
      <w:pPr>
        <w:pStyle w:val="11"/>
        <w:spacing w:line="360" w:lineRule="auto"/>
        <w:ind w:firstLineChars="200"/>
        <w:rPr>
          <w:rFonts w:ascii="宋体" w:hAnsi="宋体" w:cs="仿宋_GB2312"/>
          <w:szCs w:val="21"/>
        </w:rPr>
      </w:pPr>
      <w:r>
        <w:rPr>
          <w:rFonts w:ascii="宋体" w:hAnsi="宋体" w:cs="仿宋_GB2312"/>
          <w:szCs w:val="21"/>
        </w:rPr>
        <w:t>在市场调研和策略分析的基础上，根据</w:t>
      </w:r>
      <w:r>
        <w:rPr>
          <w:rFonts w:hint="eastAsia" w:ascii="宋体" w:hAnsi="宋体" w:cs="仿宋_GB2312"/>
          <w:szCs w:val="21"/>
        </w:rPr>
        <w:t>招标人</w:t>
      </w:r>
      <w:r>
        <w:rPr>
          <w:rFonts w:ascii="宋体" w:hAnsi="宋体" w:cs="仿宋_GB2312"/>
          <w:szCs w:val="21"/>
        </w:rPr>
        <w:t>需求和项目特点，协助</w:t>
      </w:r>
      <w:r>
        <w:rPr>
          <w:rFonts w:hint="eastAsia" w:ascii="宋体" w:hAnsi="宋体" w:cs="仿宋_GB2312"/>
          <w:szCs w:val="21"/>
        </w:rPr>
        <w:t>招标人</w:t>
      </w:r>
      <w:r>
        <w:rPr>
          <w:rFonts w:ascii="宋体" w:hAnsi="宋体" w:cs="仿宋_GB2312"/>
          <w:szCs w:val="21"/>
        </w:rPr>
        <w:t>制订合理的保险规划和保险方案，包括但不限于:确定险种和组合;确定免赔额组合;改进或设计保险条款;选择扩展条款等，为</w:t>
      </w:r>
      <w:r>
        <w:rPr>
          <w:rFonts w:hint="eastAsia" w:ascii="宋体" w:hAnsi="宋体" w:cs="仿宋_GB2312"/>
          <w:szCs w:val="21"/>
        </w:rPr>
        <w:t>招标人</w:t>
      </w:r>
      <w:r>
        <w:rPr>
          <w:rFonts w:ascii="宋体" w:hAnsi="宋体" w:cs="仿宋_GB2312"/>
          <w:szCs w:val="21"/>
        </w:rPr>
        <w:t>争取最大的风险转移保障。</w:t>
      </w:r>
    </w:p>
    <w:p>
      <w:pPr>
        <w:pStyle w:val="5"/>
        <w:spacing w:line="360" w:lineRule="auto"/>
        <w:ind w:firstLine="560"/>
        <w:rPr>
          <w:rFonts w:ascii="宋体" w:hAnsi="宋体"/>
          <w:sz w:val="21"/>
          <w:szCs w:val="21"/>
        </w:rPr>
      </w:pPr>
      <w:bookmarkStart w:id="7" w:name="_Toc6323"/>
      <w:r>
        <w:rPr>
          <w:rFonts w:hint="eastAsia" w:ascii="宋体" w:hAnsi="宋体"/>
          <w:sz w:val="21"/>
          <w:szCs w:val="21"/>
        </w:rPr>
        <w:t>3</w:t>
      </w:r>
      <w:r>
        <w:rPr>
          <w:rFonts w:ascii="宋体" w:hAnsi="宋体"/>
          <w:sz w:val="21"/>
          <w:szCs w:val="21"/>
        </w:rPr>
        <w:t>.协助保险谈判和招标</w:t>
      </w:r>
      <w:bookmarkEnd w:id="7"/>
    </w:p>
    <w:p>
      <w:pPr>
        <w:pStyle w:val="11"/>
        <w:spacing w:line="360" w:lineRule="auto"/>
        <w:ind w:firstLineChars="200"/>
        <w:rPr>
          <w:rFonts w:ascii="宋体" w:hAnsi="宋体" w:cs="仿宋_GB2312"/>
          <w:szCs w:val="21"/>
        </w:rPr>
      </w:pPr>
      <w:r>
        <w:rPr>
          <w:rFonts w:ascii="宋体" w:hAnsi="宋体" w:cs="仿宋_GB2312"/>
          <w:szCs w:val="21"/>
        </w:rPr>
        <w:t>协助</w:t>
      </w:r>
      <w:r>
        <w:rPr>
          <w:rFonts w:hint="eastAsia" w:ascii="宋体" w:hAnsi="宋体" w:cs="仿宋_GB2312"/>
          <w:szCs w:val="21"/>
        </w:rPr>
        <w:t>招标人</w:t>
      </w:r>
      <w:r>
        <w:rPr>
          <w:rFonts w:ascii="宋体" w:hAnsi="宋体" w:cs="仿宋_GB2312"/>
          <w:szCs w:val="21"/>
        </w:rPr>
        <w:t>按保险方案进行保险招标和竞争性谈判，包括:制定谈判方案和策略;从</w:t>
      </w:r>
      <w:r>
        <w:rPr>
          <w:rFonts w:hint="eastAsia" w:ascii="宋体" w:hAnsi="宋体" w:cs="仿宋_GB2312"/>
          <w:szCs w:val="21"/>
        </w:rPr>
        <w:t>招标人</w:t>
      </w:r>
      <w:r>
        <w:rPr>
          <w:rFonts w:ascii="宋体" w:hAnsi="宋体" w:cs="仿宋_GB2312"/>
          <w:szCs w:val="21"/>
        </w:rPr>
        <w:t>利益出发，协助</w:t>
      </w:r>
      <w:r>
        <w:rPr>
          <w:rFonts w:hint="eastAsia" w:ascii="宋体" w:hAnsi="宋体" w:cs="仿宋_GB2312"/>
          <w:szCs w:val="21"/>
        </w:rPr>
        <w:t>招标人</w:t>
      </w:r>
      <w:r>
        <w:rPr>
          <w:rFonts w:ascii="宋体" w:hAnsi="宋体" w:cs="仿宋_GB2312"/>
          <w:szCs w:val="21"/>
        </w:rPr>
        <w:t>与保险公司就承保条件、保险责任范围、服务质量等进行谈判;制定招标方案和编制招标文件;在得到保险公司的报价后，综合分析各家的报价和责任范围，向</w:t>
      </w:r>
      <w:r>
        <w:rPr>
          <w:rFonts w:hint="eastAsia" w:ascii="宋体" w:hAnsi="宋体" w:cs="仿宋_GB2312"/>
          <w:szCs w:val="21"/>
        </w:rPr>
        <w:t>招标人</w:t>
      </w:r>
      <w:r>
        <w:rPr>
          <w:rFonts w:ascii="宋体" w:hAnsi="宋体" w:cs="仿宋_GB2312"/>
          <w:szCs w:val="21"/>
        </w:rPr>
        <w:t>提供专业建议，详尽解释保单条款，推荐最佳投保方案;及时协助</w:t>
      </w:r>
      <w:r>
        <w:rPr>
          <w:rFonts w:hint="eastAsia" w:ascii="宋体" w:hAnsi="宋体" w:cs="仿宋_GB2312"/>
          <w:szCs w:val="21"/>
        </w:rPr>
        <w:t>招标人</w:t>
      </w:r>
      <w:r>
        <w:rPr>
          <w:rFonts w:ascii="宋体" w:hAnsi="宋体" w:cs="仿宋_GB2312"/>
          <w:szCs w:val="21"/>
        </w:rPr>
        <w:t>选定保险公司。</w:t>
      </w:r>
    </w:p>
    <w:p>
      <w:pPr>
        <w:pStyle w:val="5"/>
        <w:spacing w:line="360" w:lineRule="auto"/>
        <w:ind w:firstLine="560"/>
        <w:rPr>
          <w:rFonts w:ascii="宋体" w:hAnsi="宋体"/>
          <w:sz w:val="21"/>
          <w:szCs w:val="21"/>
        </w:rPr>
      </w:pPr>
      <w:bookmarkStart w:id="8" w:name="_Toc19674"/>
      <w:r>
        <w:rPr>
          <w:rFonts w:hint="eastAsia" w:ascii="宋体" w:hAnsi="宋体"/>
          <w:sz w:val="21"/>
          <w:szCs w:val="21"/>
        </w:rPr>
        <w:t>4</w:t>
      </w:r>
      <w:r>
        <w:rPr>
          <w:rFonts w:ascii="宋体" w:hAnsi="宋体"/>
          <w:sz w:val="21"/>
          <w:szCs w:val="21"/>
        </w:rPr>
        <w:t>.监督再保险安排</w:t>
      </w:r>
      <w:bookmarkEnd w:id="8"/>
    </w:p>
    <w:p>
      <w:pPr>
        <w:pStyle w:val="11"/>
        <w:spacing w:line="360" w:lineRule="auto"/>
        <w:ind w:firstLineChars="200"/>
        <w:rPr>
          <w:rFonts w:ascii="宋体" w:hAnsi="宋体" w:cs="仿宋_GB2312"/>
          <w:szCs w:val="21"/>
        </w:rPr>
      </w:pPr>
      <w:r>
        <w:rPr>
          <w:rFonts w:ascii="宋体" w:hAnsi="宋体" w:cs="仿宋_GB2312"/>
          <w:szCs w:val="21"/>
        </w:rPr>
        <w:t>根据</w:t>
      </w:r>
      <w:r>
        <w:rPr>
          <w:rFonts w:hint="eastAsia" w:ascii="宋体" w:hAnsi="宋体" w:cs="仿宋_GB2312"/>
          <w:szCs w:val="21"/>
        </w:rPr>
        <w:t>招标人</w:t>
      </w:r>
      <w:r>
        <w:rPr>
          <w:rFonts w:ascii="宋体" w:hAnsi="宋体" w:cs="仿宋_GB2312"/>
          <w:szCs w:val="21"/>
        </w:rPr>
        <w:t>要求，及时向</w:t>
      </w:r>
      <w:r>
        <w:rPr>
          <w:rFonts w:hint="eastAsia" w:ascii="宋体" w:hAnsi="宋体" w:cs="仿宋_GB2312"/>
          <w:szCs w:val="21"/>
        </w:rPr>
        <w:t>招标人</w:t>
      </w:r>
      <w:r>
        <w:rPr>
          <w:rFonts w:ascii="宋体" w:hAnsi="宋体" w:cs="仿宋_GB2312"/>
          <w:szCs w:val="21"/>
        </w:rPr>
        <w:t>汇报再保险市场地铁承保相关信息，调查、报告并协助</w:t>
      </w:r>
      <w:r>
        <w:rPr>
          <w:rFonts w:hint="eastAsia" w:ascii="宋体" w:hAnsi="宋体" w:cs="仿宋_GB2312"/>
          <w:szCs w:val="21"/>
        </w:rPr>
        <w:t>招标人</w:t>
      </w:r>
      <w:r>
        <w:rPr>
          <w:rFonts w:ascii="宋体" w:hAnsi="宋体" w:cs="仿宋_GB2312"/>
          <w:szCs w:val="21"/>
        </w:rPr>
        <w:t>监督共保体成员再保险安排情况。</w:t>
      </w:r>
    </w:p>
    <w:p>
      <w:pPr>
        <w:pStyle w:val="5"/>
        <w:spacing w:line="360" w:lineRule="auto"/>
        <w:ind w:firstLine="560"/>
        <w:rPr>
          <w:rFonts w:ascii="宋体" w:hAnsi="宋体"/>
          <w:sz w:val="21"/>
          <w:szCs w:val="21"/>
        </w:rPr>
      </w:pPr>
      <w:bookmarkStart w:id="9" w:name="_Toc25889"/>
      <w:r>
        <w:rPr>
          <w:rFonts w:hint="eastAsia" w:ascii="宋体" w:hAnsi="宋体"/>
          <w:sz w:val="21"/>
          <w:szCs w:val="21"/>
        </w:rPr>
        <w:t>5</w:t>
      </w:r>
      <w:r>
        <w:rPr>
          <w:rFonts w:ascii="宋体" w:hAnsi="宋体"/>
          <w:sz w:val="21"/>
          <w:szCs w:val="21"/>
        </w:rPr>
        <w:t>.投保安排</w:t>
      </w:r>
      <w:bookmarkEnd w:id="9"/>
    </w:p>
    <w:p>
      <w:pPr>
        <w:pStyle w:val="11"/>
        <w:spacing w:line="360" w:lineRule="auto"/>
        <w:ind w:firstLineChars="200"/>
        <w:rPr>
          <w:rFonts w:ascii="宋体" w:hAnsi="宋体" w:cs="仿宋_GB2312"/>
          <w:szCs w:val="21"/>
        </w:rPr>
      </w:pPr>
      <w:r>
        <w:rPr>
          <w:rFonts w:ascii="宋体" w:hAnsi="宋体" w:cs="仿宋_GB2312"/>
          <w:szCs w:val="21"/>
        </w:rPr>
        <w:t>向</w:t>
      </w:r>
      <w:r>
        <w:rPr>
          <w:rFonts w:hint="eastAsia" w:ascii="宋体" w:hAnsi="宋体" w:cs="仿宋_GB2312"/>
          <w:szCs w:val="21"/>
        </w:rPr>
        <w:t>招标人</w:t>
      </w:r>
      <w:r>
        <w:rPr>
          <w:rFonts w:ascii="宋体" w:hAnsi="宋体" w:cs="仿宋_GB2312"/>
          <w:szCs w:val="21"/>
        </w:rPr>
        <w:t>最终选定的保险公司投保、并协/代办投保所需的单证收集、投保单核对、保费缴付等一切手续。在投保后，须对保险公司出具的保险单仔细核查，确保保单内容准确无误。</w:t>
      </w:r>
    </w:p>
    <w:p>
      <w:pPr>
        <w:pStyle w:val="5"/>
        <w:spacing w:line="360" w:lineRule="auto"/>
        <w:ind w:firstLine="560"/>
        <w:rPr>
          <w:rFonts w:ascii="宋体" w:hAnsi="宋体"/>
          <w:sz w:val="21"/>
          <w:szCs w:val="21"/>
        </w:rPr>
      </w:pPr>
      <w:bookmarkStart w:id="10" w:name="_Toc8776"/>
      <w:r>
        <w:rPr>
          <w:rFonts w:hint="eastAsia" w:ascii="宋体" w:hAnsi="宋体"/>
          <w:sz w:val="21"/>
          <w:szCs w:val="21"/>
        </w:rPr>
        <w:t>6</w:t>
      </w:r>
      <w:r>
        <w:rPr>
          <w:rFonts w:ascii="宋体" w:hAnsi="宋体"/>
          <w:sz w:val="21"/>
          <w:szCs w:val="21"/>
        </w:rPr>
        <w:t>.协助索赔</w:t>
      </w:r>
      <w:bookmarkEnd w:id="10"/>
    </w:p>
    <w:p>
      <w:pPr>
        <w:pStyle w:val="11"/>
        <w:spacing w:line="360" w:lineRule="auto"/>
        <w:ind w:firstLineChars="200"/>
        <w:rPr>
          <w:rFonts w:ascii="宋体" w:hAnsi="宋体" w:cs="仿宋_GB2312"/>
          <w:szCs w:val="21"/>
        </w:rPr>
      </w:pPr>
      <w:r>
        <w:rPr>
          <w:rFonts w:ascii="宋体" w:hAnsi="宋体" w:cs="仿宋_GB2312"/>
          <w:szCs w:val="21"/>
        </w:rPr>
        <w:t>投保手续完成后，告知</w:t>
      </w:r>
      <w:r>
        <w:rPr>
          <w:rFonts w:hint="eastAsia" w:ascii="宋体" w:hAnsi="宋体" w:cs="仿宋_GB2312"/>
          <w:szCs w:val="21"/>
        </w:rPr>
        <w:t>招标人</w:t>
      </w:r>
      <w:r>
        <w:rPr>
          <w:rFonts w:ascii="宋体" w:hAnsi="宋体" w:cs="仿宋_GB2312"/>
          <w:szCs w:val="21"/>
        </w:rPr>
        <w:t>索赔程序，并提供索赔服务手册。在接到</w:t>
      </w:r>
      <w:r>
        <w:rPr>
          <w:rFonts w:hint="eastAsia" w:ascii="宋体" w:hAnsi="宋体" w:cs="仿宋_GB2312"/>
          <w:szCs w:val="21"/>
        </w:rPr>
        <w:t>招标人</w:t>
      </w:r>
      <w:r>
        <w:rPr>
          <w:rFonts w:ascii="宋体" w:hAnsi="宋体" w:cs="仿宋_GB2312"/>
          <w:szCs w:val="21"/>
        </w:rPr>
        <w:t>发生保险事故的通知后，迅速通知保险人并递交出险通知书，出席保险事故现场，协助事故调查;协助准备事故材料和各种索赔单证，编制和递交索赔文件，必要时出席</w:t>
      </w:r>
      <w:r>
        <w:rPr>
          <w:rFonts w:hint="eastAsia" w:ascii="宋体" w:hAnsi="宋体" w:cs="仿宋_GB2312"/>
          <w:szCs w:val="21"/>
        </w:rPr>
        <w:t>公估公司</w:t>
      </w:r>
      <w:r>
        <w:rPr>
          <w:rFonts w:ascii="宋体" w:hAnsi="宋体" w:cs="仿宋_GB2312"/>
          <w:szCs w:val="21"/>
        </w:rPr>
        <w:t>和保险公司参加的现场会议;协助</w:t>
      </w:r>
      <w:r>
        <w:rPr>
          <w:rFonts w:hint="eastAsia" w:ascii="宋体" w:hAnsi="宋体" w:cs="仿宋_GB2312"/>
          <w:szCs w:val="21"/>
        </w:rPr>
        <w:t>招标人</w:t>
      </w:r>
      <w:r>
        <w:rPr>
          <w:rFonts w:ascii="宋体" w:hAnsi="宋体" w:cs="仿宋_GB2312"/>
          <w:szCs w:val="21"/>
        </w:rPr>
        <w:t>就索赔事宜与保险公司谈判，为</w:t>
      </w:r>
      <w:r>
        <w:rPr>
          <w:rFonts w:hint="eastAsia" w:ascii="宋体" w:hAnsi="宋体" w:cs="仿宋_GB2312"/>
          <w:szCs w:val="21"/>
        </w:rPr>
        <w:t>招标人</w:t>
      </w:r>
      <w:r>
        <w:rPr>
          <w:rFonts w:ascii="宋体" w:hAnsi="宋体" w:cs="仿宋_GB2312"/>
          <w:szCs w:val="21"/>
        </w:rPr>
        <w:t>及时争取合理利益;接受</w:t>
      </w:r>
      <w:r>
        <w:rPr>
          <w:rFonts w:hint="eastAsia" w:ascii="宋体" w:hAnsi="宋体" w:cs="仿宋_GB2312"/>
          <w:szCs w:val="21"/>
        </w:rPr>
        <w:t>招标人</w:t>
      </w:r>
      <w:r>
        <w:rPr>
          <w:rFonts w:ascii="宋体" w:hAnsi="宋体" w:cs="仿宋_GB2312"/>
          <w:szCs w:val="21"/>
        </w:rPr>
        <w:t>委托参与保险索赔的诉讼。</w:t>
      </w:r>
    </w:p>
    <w:p>
      <w:pPr>
        <w:pStyle w:val="5"/>
        <w:spacing w:line="360" w:lineRule="auto"/>
        <w:ind w:firstLine="560"/>
        <w:rPr>
          <w:rFonts w:ascii="宋体" w:hAnsi="宋体"/>
          <w:sz w:val="21"/>
          <w:szCs w:val="21"/>
        </w:rPr>
      </w:pPr>
      <w:bookmarkStart w:id="11" w:name="_Toc11338"/>
      <w:r>
        <w:rPr>
          <w:rFonts w:hint="eastAsia" w:ascii="宋体" w:hAnsi="宋体"/>
          <w:sz w:val="21"/>
          <w:szCs w:val="21"/>
        </w:rPr>
        <w:t>7</w:t>
      </w:r>
      <w:r>
        <w:rPr>
          <w:rFonts w:ascii="宋体" w:hAnsi="宋体"/>
          <w:sz w:val="21"/>
          <w:szCs w:val="21"/>
        </w:rPr>
        <w:t>.日常风险管理</w:t>
      </w:r>
      <w:bookmarkEnd w:id="11"/>
    </w:p>
    <w:p>
      <w:pPr>
        <w:pStyle w:val="11"/>
        <w:spacing w:line="360" w:lineRule="auto"/>
        <w:ind w:firstLineChars="200"/>
        <w:rPr>
          <w:rFonts w:ascii="宋体" w:hAnsi="宋体" w:cs="仿宋_GB2312"/>
          <w:szCs w:val="21"/>
        </w:rPr>
      </w:pPr>
      <w:r>
        <w:rPr>
          <w:rFonts w:ascii="宋体" w:hAnsi="宋体" w:cs="仿宋_GB2312"/>
          <w:szCs w:val="21"/>
        </w:rPr>
        <w:t>根据所安排的险种及企业的具体风险所在，协助</w:t>
      </w:r>
      <w:r>
        <w:rPr>
          <w:rFonts w:hint="eastAsia" w:ascii="宋体" w:hAnsi="宋体" w:cs="仿宋_GB2312"/>
          <w:szCs w:val="21"/>
        </w:rPr>
        <w:t>招标人</w:t>
      </w:r>
      <w:r>
        <w:rPr>
          <w:rFonts w:ascii="宋体" w:hAnsi="宋体" w:cs="仿宋_GB2312"/>
          <w:szCs w:val="21"/>
        </w:rPr>
        <w:t>识别和衡量自身存在的风险，有针对性的向</w:t>
      </w:r>
      <w:r>
        <w:rPr>
          <w:rFonts w:hint="eastAsia" w:ascii="宋体" w:hAnsi="宋体" w:cs="仿宋_GB2312"/>
          <w:szCs w:val="21"/>
        </w:rPr>
        <w:t>招标人</w:t>
      </w:r>
      <w:r>
        <w:rPr>
          <w:rFonts w:ascii="宋体" w:hAnsi="宋体" w:cs="仿宋_GB2312"/>
          <w:szCs w:val="21"/>
        </w:rPr>
        <w:t>讲解保险、风险管理、保险索赔和防灾防损等方面的知识，编制《风险管理手册》;协助</w:t>
      </w:r>
      <w:r>
        <w:rPr>
          <w:rFonts w:hint="eastAsia" w:ascii="宋体" w:hAnsi="宋体" w:cs="仿宋_GB2312"/>
          <w:szCs w:val="21"/>
        </w:rPr>
        <w:t>招标人</w:t>
      </w:r>
      <w:r>
        <w:rPr>
          <w:rFonts w:ascii="宋体" w:hAnsi="宋体" w:cs="仿宋_GB2312"/>
          <w:szCs w:val="21"/>
        </w:rPr>
        <w:t>完善风险管理制度，对参与项目的安全管理人员免费进行培训(一年至少两次)。</w:t>
      </w:r>
    </w:p>
    <w:p>
      <w:pPr>
        <w:pStyle w:val="11"/>
        <w:spacing w:line="360" w:lineRule="auto"/>
        <w:ind w:firstLineChars="200"/>
        <w:rPr>
          <w:rFonts w:ascii="宋体" w:hAnsi="宋体" w:cs="仿宋_GB2312"/>
          <w:szCs w:val="21"/>
        </w:rPr>
      </w:pPr>
      <w:r>
        <w:rPr>
          <w:rFonts w:ascii="宋体" w:hAnsi="宋体" w:cs="仿宋_GB2312"/>
          <w:szCs w:val="21"/>
        </w:rPr>
        <w:t>为</w:t>
      </w:r>
      <w:r>
        <w:rPr>
          <w:rFonts w:hint="eastAsia" w:ascii="宋体" w:hAnsi="宋体" w:cs="仿宋_GB2312"/>
          <w:szCs w:val="21"/>
        </w:rPr>
        <w:t>招标人</w:t>
      </w:r>
      <w:r>
        <w:rPr>
          <w:rFonts w:ascii="宋体" w:hAnsi="宋体" w:cs="仿宋_GB2312"/>
          <w:szCs w:val="21"/>
        </w:rPr>
        <w:t>解答有关保险事宜的疑问，并提出专业意见，告知</w:t>
      </w:r>
      <w:r>
        <w:rPr>
          <w:rFonts w:hint="eastAsia" w:ascii="宋体" w:hAnsi="宋体" w:cs="仿宋_GB2312"/>
          <w:szCs w:val="21"/>
        </w:rPr>
        <w:t>招标人</w:t>
      </w:r>
      <w:r>
        <w:rPr>
          <w:rFonts w:ascii="宋体" w:hAnsi="宋体" w:cs="仿宋_GB2312"/>
          <w:szCs w:val="21"/>
        </w:rPr>
        <w:t>所应采取的措施</w:t>
      </w:r>
      <w:r>
        <w:rPr>
          <w:rFonts w:hint="eastAsia" w:ascii="宋体" w:hAnsi="宋体" w:cs="仿宋_GB2312"/>
          <w:szCs w:val="21"/>
        </w:rPr>
        <w:t>；</w:t>
      </w:r>
      <w:r>
        <w:rPr>
          <w:rFonts w:ascii="宋体" w:hAnsi="宋体" w:cs="仿宋_GB2312"/>
          <w:szCs w:val="21"/>
        </w:rPr>
        <w:t>为</w:t>
      </w:r>
      <w:r>
        <w:rPr>
          <w:rFonts w:hint="eastAsia" w:ascii="宋体" w:hAnsi="宋体" w:cs="仿宋_GB2312"/>
          <w:szCs w:val="21"/>
        </w:rPr>
        <w:t>招标人</w:t>
      </w:r>
      <w:r>
        <w:rPr>
          <w:rFonts w:ascii="宋体" w:hAnsi="宋体" w:cs="仿宋_GB2312"/>
          <w:szCs w:val="21"/>
        </w:rPr>
        <w:t>提供日常的风险检验，提出防灾防损建议，并协助实施。</w:t>
      </w:r>
    </w:p>
    <w:p>
      <w:pPr>
        <w:pStyle w:val="11"/>
        <w:spacing w:line="360" w:lineRule="auto"/>
        <w:ind w:firstLineChars="200"/>
        <w:rPr>
          <w:rFonts w:ascii="宋体" w:hAnsi="宋体" w:cs="仿宋_GB2312"/>
          <w:szCs w:val="21"/>
        </w:rPr>
      </w:pPr>
      <w:r>
        <w:rPr>
          <w:rFonts w:ascii="宋体" w:hAnsi="宋体" w:cs="仿宋_GB2312"/>
          <w:szCs w:val="21"/>
        </w:rPr>
        <w:t>定期(一年至少一次)收集</w:t>
      </w:r>
      <w:r>
        <w:rPr>
          <w:rFonts w:hint="eastAsia" w:ascii="宋体" w:hAnsi="宋体" w:cs="仿宋_GB2312"/>
          <w:szCs w:val="21"/>
        </w:rPr>
        <w:t>招标人</w:t>
      </w:r>
      <w:r>
        <w:rPr>
          <w:rFonts w:ascii="宋体" w:hAnsi="宋体" w:cs="仿宋_GB2312"/>
          <w:szCs w:val="21"/>
        </w:rPr>
        <w:t>的反馈信息，对</w:t>
      </w:r>
      <w:r>
        <w:rPr>
          <w:rFonts w:hint="eastAsia" w:ascii="宋体" w:hAnsi="宋体" w:cs="仿宋_GB2312"/>
          <w:szCs w:val="21"/>
        </w:rPr>
        <w:t>招标人</w:t>
      </w:r>
      <w:r>
        <w:rPr>
          <w:rFonts w:ascii="宋体" w:hAnsi="宋体" w:cs="仿宋_GB2312"/>
          <w:szCs w:val="21"/>
        </w:rPr>
        <w:t>保险标的风险状况进行现场勘察，提供评估报告，并根据项目风险的变化，评价现有保险方案，必要时协助</w:t>
      </w:r>
      <w:r>
        <w:rPr>
          <w:rFonts w:hint="eastAsia" w:ascii="宋体" w:hAnsi="宋体" w:cs="仿宋_GB2312"/>
          <w:szCs w:val="21"/>
        </w:rPr>
        <w:t>招标人</w:t>
      </w:r>
      <w:r>
        <w:rPr>
          <w:rFonts w:ascii="宋体" w:hAnsi="宋体" w:cs="仿宋_GB2312"/>
          <w:szCs w:val="21"/>
        </w:rPr>
        <w:t>对保险方案和批单进行调整。</w:t>
      </w:r>
    </w:p>
    <w:p>
      <w:pPr>
        <w:pStyle w:val="11"/>
        <w:spacing w:line="360" w:lineRule="auto"/>
        <w:ind w:firstLineChars="200"/>
        <w:rPr>
          <w:rFonts w:ascii="宋体" w:hAnsi="宋体" w:cs="仿宋_GB2312"/>
          <w:szCs w:val="21"/>
        </w:rPr>
      </w:pPr>
      <w:r>
        <w:rPr>
          <w:rFonts w:ascii="宋体" w:hAnsi="宋体" w:cs="仿宋_GB2312"/>
          <w:szCs w:val="21"/>
        </w:rPr>
        <w:t>向</w:t>
      </w:r>
      <w:r>
        <w:rPr>
          <w:rFonts w:hint="eastAsia" w:ascii="宋体" w:hAnsi="宋体" w:cs="仿宋_GB2312"/>
          <w:szCs w:val="21"/>
        </w:rPr>
        <w:t>招标人</w:t>
      </w:r>
      <w:r>
        <w:rPr>
          <w:rFonts w:ascii="宋体" w:hAnsi="宋体" w:cs="仿宋_GB2312"/>
          <w:szCs w:val="21"/>
        </w:rPr>
        <w:t>提供相关资讯以及市场变化(如国家法律法规以及自然灾害预警等)，并为</w:t>
      </w:r>
      <w:r>
        <w:rPr>
          <w:rFonts w:hint="eastAsia" w:ascii="宋体" w:hAnsi="宋体" w:cs="仿宋_GB2312"/>
          <w:szCs w:val="21"/>
        </w:rPr>
        <w:t>招标人</w:t>
      </w:r>
      <w:r>
        <w:rPr>
          <w:rFonts w:ascii="宋体" w:hAnsi="宋体" w:cs="仿宋_GB2312"/>
          <w:szCs w:val="21"/>
        </w:rPr>
        <w:t>提供相应的建议。</w:t>
      </w:r>
    </w:p>
    <w:p>
      <w:pPr>
        <w:pStyle w:val="11"/>
        <w:spacing w:line="360" w:lineRule="auto"/>
        <w:ind w:firstLineChars="200"/>
        <w:rPr>
          <w:rFonts w:ascii="宋体" w:hAnsi="宋体" w:cs="仿宋_GB2312"/>
          <w:szCs w:val="21"/>
        </w:rPr>
      </w:pPr>
      <w:r>
        <w:rPr>
          <w:rFonts w:ascii="宋体" w:hAnsi="宋体" w:cs="仿宋_GB2312"/>
          <w:szCs w:val="21"/>
        </w:rPr>
        <w:t>定期(每月一次，以招标人通知的时间为准)参加招标人组织的运营保险沟通会议，并针对具体问题提供有效建议。</w:t>
      </w:r>
    </w:p>
    <w:p>
      <w:pPr>
        <w:pStyle w:val="3"/>
        <w:spacing w:line="360" w:lineRule="auto"/>
        <w:rPr>
          <w:rFonts w:ascii="宋体" w:hAnsi="宋体"/>
          <w:sz w:val="21"/>
          <w:szCs w:val="21"/>
        </w:rPr>
      </w:pPr>
      <w:bookmarkStart w:id="12" w:name="_Toc3988"/>
      <w:r>
        <w:rPr>
          <w:rFonts w:hint="eastAsia" w:ascii="宋体" w:hAnsi="宋体"/>
          <w:sz w:val="21"/>
          <w:szCs w:val="21"/>
        </w:rPr>
        <w:t>四、具体需求</w:t>
      </w:r>
      <w:bookmarkEnd w:id="12"/>
    </w:p>
    <w:p>
      <w:pPr>
        <w:pStyle w:val="4"/>
        <w:ind w:firstLine="280"/>
        <w:rPr>
          <w:rFonts w:ascii="宋体" w:hAnsi="宋体"/>
          <w:sz w:val="21"/>
          <w:szCs w:val="21"/>
        </w:rPr>
      </w:pPr>
      <w:bookmarkStart w:id="13" w:name="_Toc20665"/>
      <w:r>
        <w:rPr>
          <w:rFonts w:hint="eastAsia" w:ascii="宋体" w:hAnsi="宋体"/>
          <w:sz w:val="21"/>
          <w:szCs w:val="21"/>
        </w:rPr>
        <w:t>（一）工作任务</w:t>
      </w:r>
      <w:bookmarkEnd w:id="13"/>
    </w:p>
    <w:p>
      <w:pPr>
        <w:pStyle w:val="11"/>
        <w:spacing w:line="360" w:lineRule="auto"/>
        <w:ind w:firstLineChars="200"/>
        <w:rPr>
          <w:rFonts w:ascii="宋体" w:hAnsi="宋体" w:cs="仿宋_GB2312"/>
          <w:szCs w:val="21"/>
        </w:rPr>
      </w:pPr>
      <w:r>
        <w:rPr>
          <w:rFonts w:hint="eastAsia" w:ascii="宋体" w:hAnsi="宋体" w:cs="仿宋_GB2312"/>
          <w:szCs w:val="21"/>
        </w:rPr>
        <w:t>充分维护和代表招标人的利益，通过对项目进行风险评估、保险方案设计、协助保险谈判和招标、投保安排、再保险信息调查、报告和协助监督共保体各成员再保险安排情况、协助索赔、日常咨询、风险查勘与管控等一系列工作，帮助招标人完善风险管理体系，提高风险规避和控制能力，及时完成风险转移，降低项目投保成本，优化承保条件，确保项目建设的顺利实施。</w:t>
      </w:r>
    </w:p>
    <w:p>
      <w:pPr>
        <w:pStyle w:val="4"/>
        <w:ind w:firstLine="280"/>
        <w:rPr>
          <w:rFonts w:ascii="宋体" w:hAnsi="宋体"/>
          <w:sz w:val="21"/>
          <w:szCs w:val="21"/>
        </w:rPr>
      </w:pPr>
      <w:bookmarkStart w:id="14" w:name="_Toc16240"/>
      <w:r>
        <w:rPr>
          <w:rFonts w:hint="eastAsia" w:ascii="宋体" w:hAnsi="宋体"/>
          <w:sz w:val="21"/>
          <w:szCs w:val="21"/>
        </w:rPr>
        <w:t>（二）人员配置</w:t>
      </w:r>
      <w:bookmarkEnd w:id="14"/>
    </w:p>
    <w:p>
      <w:pPr>
        <w:pStyle w:val="11"/>
        <w:spacing w:line="360" w:lineRule="auto"/>
        <w:ind w:firstLineChars="200"/>
        <w:rPr>
          <w:rFonts w:ascii="宋体" w:hAnsi="宋体" w:cs="仿宋_GB2312"/>
          <w:szCs w:val="21"/>
        </w:rPr>
      </w:pPr>
      <w:r>
        <w:rPr>
          <w:rFonts w:hint="eastAsia" w:ascii="宋体" w:hAnsi="宋体" w:cs="仿宋_GB2312"/>
          <w:szCs w:val="21"/>
        </w:rPr>
        <w:t>投标人应针对该项目成立专业的服务团队，指定具有较强的技术背景、丰富的项目经验和突出的协调能力作为项目负责人，并配置充足的技术、设备、资源支撑，做到管理结构清晰、人员力量充足、信息沟通顺畅、需求响应及时，以保证各项服务承诺的落实。专业服务团队负责本项目的风险查勘、防灾防损和风险管理讲座、保险知识培训、再保险安排、重大赔案处理和内外协调等事宜。</w:t>
      </w:r>
    </w:p>
    <w:p>
      <w:pPr>
        <w:pStyle w:val="11"/>
        <w:spacing w:line="360" w:lineRule="auto"/>
        <w:ind w:firstLineChars="200"/>
        <w:rPr>
          <w:rFonts w:ascii="宋体" w:hAnsi="宋体" w:cs="仿宋_GB2312"/>
          <w:szCs w:val="21"/>
        </w:rPr>
      </w:pPr>
      <w:r>
        <w:rPr>
          <w:rFonts w:hint="eastAsia" w:ascii="宋体" w:hAnsi="宋体" w:cs="仿宋_GB2312"/>
          <w:szCs w:val="21"/>
        </w:rPr>
        <w:t>同时，投标人应承诺服务团队人员的稳定性，在合同执行期间，未经招标人方同意，不得更换项目负责人或业务骨干，并及时更换经招标人方考察为不适合担任项目负责人或业务骨干的人选。</w:t>
      </w:r>
    </w:p>
    <w:p>
      <w:pPr>
        <w:pStyle w:val="4"/>
        <w:ind w:firstLine="280"/>
        <w:rPr>
          <w:rFonts w:ascii="宋体" w:hAnsi="宋体"/>
          <w:sz w:val="21"/>
          <w:szCs w:val="21"/>
        </w:rPr>
      </w:pPr>
      <w:bookmarkStart w:id="15" w:name="_Toc17222"/>
      <w:r>
        <w:rPr>
          <w:rFonts w:hint="eastAsia" w:ascii="宋体" w:hAnsi="宋体"/>
          <w:sz w:val="21"/>
          <w:szCs w:val="21"/>
        </w:rPr>
        <w:t>（三）时间进度保障</w:t>
      </w:r>
      <w:bookmarkEnd w:id="15"/>
    </w:p>
    <w:p>
      <w:pPr>
        <w:pStyle w:val="11"/>
        <w:spacing w:line="360" w:lineRule="auto"/>
        <w:ind w:firstLineChars="200"/>
        <w:rPr>
          <w:rFonts w:ascii="宋体" w:hAnsi="宋体" w:cs="仿宋_GB2312"/>
          <w:szCs w:val="21"/>
        </w:rPr>
      </w:pPr>
      <w:r>
        <w:rPr>
          <w:rFonts w:hint="eastAsia" w:ascii="宋体" w:hAnsi="宋体" w:cs="仿宋_GB2312"/>
          <w:szCs w:val="21"/>
        </w:rPr>
        <w:t>投标人应确保在要求的时间内协助招标人完成项目的保险安排及保险合同签订工作。</w:t>
      </w:r>
    </w:p>
    <w:p>
      <w:pPr>
        <w:pStyle w:val="4"/>
        <w:ind w:firstLine="280"/>
        <w:rPr>
          <w:rFonts w:ascii="宋体" w:hAnsi="宋体"/>
          <w:sz w:val="21"/>
          <w:szCs w:val="21"/>
        </w:rPr>
      </w:pPr>
      <w:bookmarkStart w:id="16" w:name="_Toc21633"/>
      <w:r>
        <w:rPr>
          <w:rFonts w:hint="eastAsia" w:ascii="宋体" w:hAnsi="宋体"/>
          <w:sz w:val="21"/>
          <w:szCs w:val="21"/>
        </w:rPr>
        <w:t>（四）对保险方案设计的有关要求</w:t>
      </w:r>
      <w:bookmarkEnd w:id="16"/>
    </w:p>
    <w:p>
      <w:pPr>
        <w:pStyle w:val="11"/>
        <w:spacing w:line="360" w:lineRule="auto"/>
        <w:ind w:firstLineChars="200"/>
        <w:rPr>
          <w:rFonts w:ascii="宋体" w:hAnsi="宋体" w:cs="仿宋_GB2312"/>
          <w:szCs w:val="21"/>
        </w:rPr>
      </w:pPr>
      <w:r>
        <w:rPr>
          <w:rFonts w:hint="eastAsia" w:ascii="宋体" w:hAnsi="宋体" w:cs="仿宋_GB2312"/>
          <w:szCs w:val="21"/>
        </w:rPr>
        <w:t>1.保险方案设计应包括该项目保险的各项承保条件组合。</w:t>
      </w:r>
    </w:p>
    <w:p>
      <w:pPr>
        <w:pStyle w:val="11"/>
        <w:spacing w:line="360" w:lineRule="auto"/>
        <w:ind w:firstLineChars="200"/>
        <w:rPr>
          <w:rFonts w:ascii="宋体" w:hAnsi="宋体" w:cs="仿宋_GB2312"/>
          <w:szCs w:val="21"/>
        </w:rPr>
      </w:pPr>
      <w:r>
        <w:rPr>
          <w:rFonts w:hint="eastAsia" w:ascii="宋体" w:hAnsi="宋体" w:cs="仿宋_GB2312"/>
          <w:szCs w:val="21"/>
        </w:rPr>
        <w:t>2.投标人应根据自身设计的保险安排策略，对项目承保的总保险费做出详细测算，尽可能降低和控制成本。</w:t>
      </w:r>
    </w:p>
    <w:p>
      <w:pPr>
        <w:pStyle w:val="11"/>
        <w:spacing w:line="360" w:lineRule="auto"/>
        <w:ind w:firstLineChars="200"/>
        <w:rPr>
          <w:rFonts w:ascii="宋体" w:hAnsi="宋体" w:cs="仿宋_GB2312"/>
          <w:szCs w:val="21"/>
        </w:rPr>
      </w:pPr>
      <w:r>
        <w:rPr>
          <w:rFonts w:hint="eastAsia" w:ascii="宋体" w:hAnsi="宋体" w:cs="仿宋_GB2312"/>
          <w:szCs w:val="21"/>
        </w:rPr>
        <w:t>3.本项目投保的险种中应附加保障招标人工作人员的雇主责任险。</w:t>
      </w:r>
    </w:p>
    <w:p>
      <w:pPr>
        <w:pStyle w:val="11"/>
        <w:spacing w:line="360" w:lineRule="auto"/>
        <w:ind w:firstLineChars="200"/>
        <w:rPr>
          <w:rFonts w:ascii="宋体" w:hAnsi="宋体" w:cs="仿宋_GB2312"/>
          <w:szCs w:val="21"/>
        </w:rPr>
      </w:pPr>
      <w:r>
        <w:rPr>
          <w:rFonts w:hint="eastAsia" w:ascii="宋体" w:hAnsi="宋体" w:cs="仿宋_GB2312"/>
          <w:szCs w:val="21"/>
        </w:rPr>
        <w:t>4.做好本项目保险合同与其他合同、与后续项目保险的衔接工作。</w:t>
      </w:r>
    </w:p>
    <w:p>
      <w:pPr>
        <w:pStyle w:val="11"/>
        <w:spacing w:line="360" w:lineRule="auto"/>
        <w:ind w:firstLineChars="200"/>
        <w:rPr>
          <w:rFonts w:ascii="宋体" w:hAnsi="宋体" w:cs="仿宋_GB2312"/>
          <w:szCs w:val="21"/>
        </w:rPr>
      </w:pPr>
      <w:r>
        <w:rPr>
          <w:rFonts w:hint="eastAsia" w:ascii="宋体" w:hAnsi="宋体" w:cs="仿宋_GB2312"/>
          <w:szCs w:val="21"/>
        </w:rPr>
        <w:t>5.协助审查项目主要合同中的有关保险章节，确保合同的责任内容与保单条款衔接。</w:t>
      </w:r>
    </w:p>
    <w:p>
      <w:pPr>
        <w:pStyle w:val="11"/>
        <w:spacing w:line="360" w:lineRule="auto"/>
        <w:ind w:firstLineChars="200"/>
        <w:rPr>
          <w:rFonts w:ascii="宋体" w:hAnsi="宋体" w:cs="仿宋_GB2312"/>
          <w:szCs w:val="21"/>
        </w:rPr>
      </w:pPr>
      <w:r>
        <w:rPr>
          <w:rFonts w:hint="eastAsia" w:ascii="宋体" w:hAnsi="宋体" w:cs="仿宋_GB2312"/>
          <w:szCs w:val="21"/>
        </w:rPr>
        <w:t>6.投标人需努力、专业、尽职地工作，若出现因疏忽过失导致或不尽职或专业度不够导致的保险安排不当或索赔不力的情况，需承担相应的经济责任或法律责任。</w:t>
      </w:r>
    </w:p>
    <w:p>
      <w:pPr>
        <w:pStyle w:val="4"/>
        <w:ind w:firstLine="280"/>
        <w:rPr>
          <w:rFonts w:ascii="宋体" w:hAnsi="宋体"/>
          <w:sz w:val="21"/>
          <w:szCs w:val="21"/>
        </w:rPr>
      </w:pPr>
      <w:bookmarkStart w:id="17" w:name="_Toc25735"/>
      <w:r>
        <w:rPr>
          <w:rFonts w:hint="eastAsia" w:ascii="宋体" w:hAnsi="宋体"/>
          <w:sz w:val="21"/>
          <w:szCs w:val="21"/>
        </w:rPr>
        <w:t>（五）考核要求</w:t>
      </w:r>
      <w:bookmarkEnd w:id="17"/>
    </w:p>
    <w:p>
      <w:pPr>
        <w:pStyle w:val="11"/>
        <w:spacing w:line="360" w:lineRule="auto"/>
        <w:ind w:firstLineChars="200"/>
        <w:rPr>
          <w:rFonts w:ascii="宋体" w:hAnsi="宋体" w:cs="仿宋_GB2312"/>
          <w:szCs w:val="21"/>
        </w:rPr>
      </w:pPr>
      <w:r>
        <w:rPr>
          <w:rFonts w:hint="eastAsia" w:ascii="宋体" w:hAnsi="宋体" w:cs="仿宋_GB2312"/>
          <w:szCs w:val="21"/>
        </w:rPr>
        <w:t>本合同有效期内，招标人每年年末对投标人提供的保险经纪服务进行考核，具体约定如下：</w:t>
      </w:r>
    </w:p>
    <w:p>
      <w:pPr>
        <w:pStyle w:val="11"/>
        <w:spacing w:line="360" w:lineRule="auto"/>
        <w:ind w:firstLineChars="200"/>
        <w:rPr>
          <w:rFonts w:ascii="宋体" w:hAnsi="宋体" w:cs="仿宋_GB2312"/>
          <w:szCs w:val="21"/>
        </w:rPr>
      </w:pPr>
      <w:r>
        <w:rPr>
          <w:rFonts w:hint="eastAsia" w:ascii="宋体" w:hAnsi="宋体" w:cs="仿宋_GB2312"/>
          <w:szCs w:val="21"/>
        </w:rPr>
        <w:t>1、考核原则：公平、公正、协商一致</w:t>
      </w:r>
    </w:p>
    <w:p>
      <w:pPr>
        <w:pStyle w:val="11"/>
        <w:spacing w:line="360" w:lineRule="auto"/>
        <w:ind w:firstLineChars="200"/>
        <w:rPr>
          <w:rFonts w:ascii="宋体" w:hAnsi="宋体" w:cs="仿宋_GB2312"/>
          <w:szCs w:val="21"/>
        </w:rPr>
      </w:pPr>
      <w:r>
        <w:rPr>
          <w:rFonts w:hint="eastAsia" w:ascii="宋体" w:hAnsi="宋体" w:cs="仿宋_GB2312"/>
          <w:szCs w:val="21"/>
        </w:rPr>
        <w:t>2、考核内容：按服务项目制定相应的工作要求，并根据所制定的要求在组织管理、专业技术、服务质量、培训组织等方面进行考核。</w:t>
      </w:r>
    </w:p>
    <w:p>
      <w:pPr>
        <w:pStyle w:val="11"/>
        <w:spacing w:line="360" w:lineRule="auto"/>
        <w:ind w:firstLineChars="200"/>
        <w:rPr>
          <w:rFonts w:ascii="宋体" w:hAnsi="宋体" w:cs="仿宋_GB2312"/>
          <w:szCs w:val="21"/>
        </w:rPr>
      </w:pPr>
      <w:r>
        <w:rPr>
          <w:rFonts w:hint="eastAsia" w:ascii="宋体" w:hAnsi="宋体" w:cs="仿宋_GB2312"/>
          <w:szCs w:val="21"/>
        </w:rPr>
        <w:t>3、考核程序和办法：</w:t>
      </w:r>
    </w:p>
    <w:p>
      <w:pPr>
        <w:pStyle w:val="11"/>
        <w:spacing w:line="360" w:lineRule="auto"/>
        <w:ind w:firstLineChars="200"/>
        <w:rPr>
          <w:rFonts w:ascii="宋体" w:hAnsi="宋体" w:cs="仿宋_GB2312"/>
          <w:szCs w:val="21"/>
        </w:rPr>
      </w:pPr>
      <w:r>
        <w:rPr>
          <w:rFonts w:hint="eastAsia" w:ascii="宋体" w:hAnsi="宋体" w:cs="仿宋_GB2312"/>
          <w:szCs w:val="21"/>
        </w:rPr>
        <w:t>A. 招标人依据实际情况每年组织 1－2 次服务情况检查，向相关部门发放《保险经纪服务情况调查表》，根据反馈情况和完成服务质量的评价，提出整改意见，评价结果存入考核档案。</w:t>
      </w:r>
    </w:p>
    <w:p>
      <w:pPr>
        <w:pStyle w:val="11"/>
        <w:spacing w:line="360" w:lineRule="auto"/>
        <w:ind w:firstLineChars="200"/>
        <w:rPr>
          <w:rFonts w:ascii="宋体" w:hAnsi="宋体" w:cs="仿宋_GB2312"/>
          <w:szCs w:val="21"/>
        </w:rPr>
      </w:pPr>
      <w:r>
        <w:rPr>
          <w:rFonts w:hint="eastAsia" w:ascii="宋体" w:hAnsi="宋体" w:cs="仿宋_GB2312"/>
          <w:szCs w:val="21"/>
        </w:rPr>
        <w:t>B.考核结果实行百分制。根据考核内容和服务标准确定相应分值，在集中检查中对未达标内容进行扣分。</w:t>
      </w:r>
    </w:p>
    <w:p>
      <w:pPr>
        <w:pStyle w:val="11"/>
        <w:spacing w:line="360" w:lineRule="auto"/>
        <w:ind w:firstLineChars="200"/>
        <w:rPr>
          <w:rFonts w:ascii="宋体" w:hAnsi="宋体" w:cs="仿宋_GB2312"/>
          <w:szCs w:val="21"/>
        </w:rPr>
      </w:pPr>
      <w:r>
        <w:rPr>
          <w:rFonts w:hint="eastAsia" w:ascii="宋体" w:hAnsi="宋体" w:cs="仿宋_GB2312"/>
          <w:szCs w:val="21"/>
        </w:rPr>
        <w:t>C.考核结果作为对投标人评价的依据，若考核结果不合格，招标人方可要求撤换项目经理或终止协议。</w:t>
      </w:r>
    </w:p>
    <w:p>
      <w:pPr>
        <w:pStyle w:val="11"/>
        <w:spacing w:line="360" w:lineRule="auto"/>
        <w:ind w:firstLineChars="200"/>
        <w:rPr>
          <w:rFonts w:ascii="宋体" w:hAnsi="宋体" w:cs="仿宋_GB2312"/>
          <w:szCs w:val="21"/>
        </w:rPr>
      </w:pPr>
      <w:r>
        <w:rPr>
          <w:rFonts w:hint="eastAsia" w:ascii="宋体" w:hAnsi="宋体" w:cs="仿宋_GB2312"/>
          <w:szCs w:val="21"/>
        </w:rPr>
        <w:t>4、双方将基于以上原则对考核的具体事项进行书面约定。</w:t>
      </w:r>
    </w:p>
    <w:p>
      <w:pPr>
        <w:pStyle w:val="4"/>
        <w:ind w:firstLine="280"/>
        <w:rPr>
          <w:rFonts w:ascii="宋体" w:hAnsi="宋体"/>
          <w:sz w:val="21"/>
          <w:szCs w:val="21"/>
        </w:rPr>
      </w:pPr>
      <w:bookmarkStart w:id="18" w:name="_Toc23425"/>
      <w:r>
        <w:rPr>
          <w:rFonts w:hint="eastAsia" w:ascii="宋体" w:hAnsi="宋体"/>
          <w:sz w:val="21"/>
          <w:szCs w:val="21"/>
        </w:rPr>
        <w:t>（六）函件</w:t>
      </w:r>
      <w:bookmarkEnd w:id="18"/>
    </w:p>
    <w:p>
      <w:pPr>
        <w:pStyle w:val="11"/>
        <w:spacing w:line="360" w:lineRule="auto"/>
        <w:ind w:firstLineChars="200"/>
        <w:rPr>
          <w:rFonts w:ascii="宋体" w:hAnsi="宋体" w:cs="仿宋_GB2312"/>
          <w:szCs w:val="21"/>
        </w:rPr>
      </w:pPr>
      <w:r>
        <w:rPr>
          <w:rFonts w:hint="eastAsia" w:ascii="宋体" w:hAnsi="宋体" w:cs="仿宋_GB2312"/>
          <w:szCs w:val="21"/>
        </w:rPr>
        <w:t>1、发送对方的重要函件应以书面形式送达或以快递方式寄至对方营业地址。使用传真、电子邮件等其它方式，原件应随后寄送。</w:t>
      </w:r>
    </w:p>
    <w:p>
      <w:pPr>
        <w:pStyle w:val="11"/>
        <w:spacing w:line="360" w:lineRule="auto"/>
        <w:ind w:firstLineChars="200"/>
        <w:rPr>
          <w:rFonts w:ascii="宋体" w:hAnsi="宋体" w:cs="仿宋_GB2312"/>
          <w:szCs w:val="21"/>
        </w:rPr>
      </w:pPr>
      <w:r>
        <w:rPr>
          <w:rFonts w:hint="eastAsia" w:ascii="宋体" w:hAnsi="宋体" w:cs="仿宋_GB2312"/>
          <w:szCs w:val="21"/>
        </w:rPr>
        <w:t>2、邮寄函件通常被认为在发出后７个工作日内寄达对方，传真件则在传送的同时即为收到。</w:t>
      </w:r>
    </w:p>
    <w:p>
      <w:pPr>
        <w:pStyle w:val="11"/>
        <w:spacing w:line="360" w:lineRule="auto"/>
        <w:ind w:firstLineChars="200"/>
        <w:rPr>
          <w:rFonts w:ascii="宋体" w:hAnsi="宋体" w:cs="仿宋_GB2312"/>
          <w:szCs w:val="21"/>
        </w:rPr>
      </w:pPr>
      <w:r>
        <w:rPr>
          <w:rFonts w:hint="eastAsia" w:ascii="宋体" w:hAnsi="宋体" w:cs="仿宋_GB2312"/>
          <w:szCs w:val="21"/>
        </w:rPr>
        <w:t>3、双方应提供各自授权签署与执行本协议有关文件的人员名单和签字样本。</w:t>
      </w:r>
    </w:p>
    <w:p>
      <w:pPr>
        <w:pStyle w:val="4"/>
        <w:ind w:firstLine="280"/>
        <w:rPr>
          <w:rFonts w:ascii="宋体" w:hAnsi="宋体"/>
          <w:sz w:val="21"/>
          <w:szCs w:val="21"/>
        </w:rPr>
      </w:pPr>
      <w:bookmarkStart w:id="19" w:name="_Toc27359"/>
      <w:r>
        <w:rPr>
          <w:rFonts w:hint="eastAsia" w:ascii="宋体" w:hAnsi="宋体"/>
          <w:sz w:val="21"/>
          <w:szCs w:val="21"/>
        </w:rPr>
        <w:t>（七）保密条款</w:t>
      </w:r>
      <w:bookmarkEnd w:id="19"/>
    </w:p>
    <w:p>
      <w:pPr>
        <w:pStyle w:val="11"/>
        <w:spacing w:line="360" w:lineRule="auto"/>
        <w:ind w:firstLineChars="200"/>
        <w:rPr>
          <w:rFonts w:ascii="宋体" w:hAnsi="宋体" w:cs="仿宋_GB2312"/>
          <w:szCs w:val="21"/>
        </w:rPr>
      </w:pPr>
      <w:r>
        <w:rPr>
          <w:rFonts w:hint="eastAsia" w:ascii="宋体" w:hAnsi="宋体" w:cs="仿宋_GB2312"/>
          <w:szCs w:val="21"/>
        </w:rPr>
        <w:t>1、除非下列情况，甲乙双方在执行本合同过程中不得将项目情况、承保费率、承保条件、保险方案、理赔数据等任何保密信息(包括但不限于各方的往来书面文字文件、电子邮件及信息、U盘资料等)泄漏给第三方:</w:t>
      </w:r>
    </w:p>
    <w:p>
      <w:pPr>
        <w:pStyle w:val="11"/>
        <w:spacing w:line="360" w:lineRule="auto"/>
        <w:ind w:firstLineChars="200"/>
        <w:rPr>
          <w:rFonts w:ascii="宋体" w:hAnsi="宋体" w:cs="仿宋_GB2312"/>
          <w:szCs w:val="21"/>
        </w:rPr>
      </w:pPr>
      <w:r>
        <w:rPr>
          <w:rFonts w:hint="eastAsia" w:ascii="宋体" w:hAnsi="宋体" w:cs="仿宋_GB2312"/>
          <w:szCs w:val="21"/>
        </w:rPr>
        <w:t>A. 提供给为执行本合同而提供相关服务的雇员或专家;</w:t>
      </w:r>
    </w:p>
    <w:p>
      <w:pPr>
        <w:pStyle w:val="11"/>
        <w:spacing w:line="360" w:lineRule="auto"/>
        <w:ind w:firstLineChars="200"/>
        <w:rPr>
          <w:rFonts w:ascii="宋体" w:hAnsi="宋体" w:cs="仿宋_GB2312"/>
          <w:szCs w:val="21"/>
        </w:rPr>
      </w:pPr>
      <w:r>
        <w:rPr>
          <w:rFonts w:hint="eastAsia" w:ascii="宋体" w:hAnsi="宋体" w:cs="仿宋_GB2312"/>
          <w:szCs w:val="21"/>
        </w:rPr>
        <w:t>B.应法律或司法管辖要求而提供;</w:t>
      </w:r>
    </w:p>
    <w:p>
      <w:pPr>
        <w:pStyle w:val="11"/>
        <w:spacing w:line="360" w:lineRule="auto"/>
        <w:ind w:firstLineChars="200"/>
        <w:rPr>
          <w:rFonts w:ascii="宋体" w:hAnsi="宋体" w:cs="仿宋_GB2312"/>
          <w:szCs w:val="21"/>
        </w:rPr>
      </w:pPr>
      <w:r>
        <w:rPr>
          <w:rFonts w:hint="eastAsia" w:ascii="宋体" w:hAnsi="宋体" w:cs="仿宋_GB2312"/>
          <w:szCs w:val="21"/>
        </w:rPr>
        <w:t>C.提供给本协议确定的提供保险服务的保险公司;</w:t>
      </w:r>
    </w:p>
    <w:p>
      <w:pPr>
        <w:pStyle w:val="11"/>
        <w:spacing w:line="360" w:lineRule="auto"/>
        <w:ind w:firstLineChars="200"/>
        <w:rPr>
          <w:rFonts w:ascii="宋体" w:hAnsi="宋体" w:cs="仿宋_GB2312"/>
          <w:szCs w:val="21"/>
        </w:rPr>
      </w:pPr>
      <w:r>
        <w:rPr>
          <w:rFonts w:hint="eastAsia" w:ascii="宋体" w:hAnsi="宋体" w:cs="仿宋_GB2312"/>
          <w:szCs w:val="21"/>
        </w:rPr>
        <w:t>D.经另一方书面同意。</w:t>
      </w:r>
    </w:p>
    <w:p>
      <w:pPr>
        <w:pStyle w:val="11"/>
        <w:spacing w:line="360" w:lineRule="auto"/>
        <w:ind w:firstLineChars="200"/>
        <w:rPr>
          <w:rFonts w:ascii="宋体" w:hAnsi="宋体" w:cs="仿宋_GB2312"/>
          <w:szCs w:val="21"/>
        </w:rPr>
      </w:pPr>
      <w:r>
        <w:rPr>
          <w:rFonts w:hint="eastAsia" w:ascii="宋体" w:hAnsi="宋体" w:cs="仿宋_GB2312"/>
          <w:szCs w:val="21"/>
        </w:rPr>
        <w:t>2、因违反本条款给对方造成的经济损失、由违反方承担赔偿责任。</w:t>
      </w:r>
    </w:p>
    <w:p>
      <w:pPr>
        <w:pStyle w:val="11"/>
        <w:spacing w:line="360" w:lineRule="auto"/>
        <w:ind w:firstLineChars="200"/>
        <w:rPr>
          <w:rFonts w:ascii="宋体" w:hAnsi="宋体" w:cs="仿宋_GB2312"/>
          <w:szCs w:val="21"/>
        </w:rPr>
      </w:pPr>
      <w:r>
        <w:rPr>
          <w:rFonts w:hint="eastAsia" w:ascii="宋体" w:hAnsi="宋体" w:cs="仿宋_GB2312"/>
          <w:szCs w:val="21"/>
        </w:rPr>
        <w:t>3、本条款可以以双方另签订的保密协议替代。</w:t>
      </w:r>
    </w:p>
    <w:p>
      <w:pPr>
        <w:pStyle w:val="11"/>
        <w:spacing w:line="360" w:lineRule="auto"/>
        <w:ind w:firstLineChars="200"/>
        <w:rPr>
          <w:rFonts w:ascii="宋体" w:hAnsi="宋体" w:cs="仿宋_GB2312"/>
          <w:szCs w:val="21"/>
        </w:rPr>
      </w:pPr>
      <w:r>
        <w:rPr>
          <w:rFonts w:hint="eastAsia" w:ascii="宋体" w:hAnsi="宋体" w:cs="仿宋_GB2312"/>
          <w:szCs w:val="21"/>
        </w:rPr>
        <w:t>4、本条款不得因本合同终止而失效。</w:t>
      </w:r>
    </w:p>
    <w:p>
      <w:pPr>
        <w:pStyle w:val="4"/>
        <w:ind w:firstLine="280"/>
        <w:rPr>
          <w:rFonts w:ascii="宋体" w:hAnsi="宋体"/>
          <w:sz w:val="21"/>
          <w:szCs w:val="21"/>
        </w:rPr>
      </w:pPr>
      <w:bookmarkStart w:id="20" w:name="_Toc25486"/>
      <w:r>
        <w:rPr>
          <w:rFonts w:hint="eastAsia" w:ascii="宋体" w:hAnsi="宋体"/>
          <w:sz w:val="21"/>
          <w:szCs w:val="21"/>
        </w:rPr>
        <w:t>（八）违约责任</w:t>
      </w:r>
      <w:bookmarkEnd w:id="20"/>
    </w:p>
    <w:p>
      <w:pPr>
        <w:pStyle w:val="11"/>
        <w:spacing w:line="360" w:lineRule="auto"/>
        <w:ind w:firstLineChars="200"/>
        <w:rPr>
          <w:rFonts w:ascii="宋体" w:hAnsi="宋体" w:cs="仿宋_GB2312"/>
          <w:szCs w:val="21"/>
        </w:rPr>
      </w:pPr>
      <w:r>
        <w:rPr>
          <w:rFonts w:hint="eastAsia" w:ascii="宋体" w:hAnsi="宋体" w:cs="仿宋_GB2312"/>
          <w:szCs w:val="21"/>
        </w:rPr>
        <w:t>投标人在为招标人提供服务的过程中，如有违反《保险法》、《保险经纪人管理条例》、中国保险监督管理局相关规定等法律、法规以及本合同的行为，或未按投标书中的承诺在金华设立办事处或者一周至少一次派驻金华的，即构成其违约。投标人出现违约行为或考核结果不合格，招标人有权终止本合同。</w:t>
      </w:r>
    </w:p>
    <w:p>
      <w:pPr>
        <w:pStyle w:val="4"/>
        <w:ind w:firstLine="280"/>
        <w:rPr>
          <w:rFonts w:ascii="宋体" w:hAnsi="宋体"/>
          <w:sz w:val="21"/>
          <w:szCs w:val="21"/>
        </w:rPr>
      </w:pPr>
      <w:bookmarkStart w:id="21" w:name="_Toc14871"/>
      <w:r>
        <w:rPr>
          <w:rFonts w:hint="eastAsia" w:ascii="宋体" w:hAnsi="宋体"/>
          <w:sz w:val="21"/>
          <w:szCs w:val="21"/>
        </w:rPr>
        <w:t>（九）其他</w:t>
      </w:r>
      <w:bookmarkEnd w:id="21"/>
    </w:p>
    <w:p>
      <w:pPr>
        <w:pStyle w:val="11"/>
        <w:spacing w:line="360" w:lineRule="auto"/>
        <w:ind w:firstLineChars="200"/>
        <w:rPr>
          <w:rFonts w:ascii="宋体" w:hAnsi="宋体" w:cs="仿宋_GB2312"/>
          <w:szCs w:val="21"/>
        </w:rPr>
      </w:pPr>
      <w:r>
        <w:rPr>
          <w:rFonts w:hint="eastAsia" w:ascii="宋体" w:hAnsi="宋体" w:cs="仿宋_GB2312"/>
          <w:szCs w:val="21"/>
        </w:rPr>
        <w:t>1.在涉及招标人/被保险人利益的与本协议约定事项相关的保险法律法规发生重大变化时，及时作出提示，保障招标人权益。</w:t>
      </w:r>
    </w:p>
    <w:p>
      <w:pPr>
        <w:pStyle w:val="11"/>
        <w:spacing w:line="360" w:lineRule="auto"/>
        <w:ind w:firstLineChars="200"/>
        <w:rPr>
          <w:rFonts w:ascii="宋体" w:hAnsi="宋体" w:cs="仿宋_GB2312"/>
          <w:szCs w:val="21"/>
        </w:rPr>
      </w:pPr>
      <w:r>
        <w:rPr>
          <w:rFonts w:hint="eastAsia" w:ascii="宋体" w:hAnsi="宋体" w:cs="仿宋_GB2312"/>
          <w:szCs w:val="21"/>
        </w:rPr>
        <w:t>2. 向招标人提供保险日常咨询及防灾防损咨询服务，通过保险讲座或专题会议等形式为招标人提供保险培训。</w:t>
      </w:r>
    </w:p>
    <w:p>
      <w:pPr>
        <w:pStyle w:val="11"/>
        <w:spacing w:line="360" w:lineRule="auto"/>
        <w:ind w:firstLineChars="200"/>
        <w:rPr>
          <w:rFonts w:ascii="宋体" w:hAnsi="宋体" w:cs="仿宋_GB2312"/>
          <w:szCs w:val="21"/>
        </w:rPr>
      </w:pPr>
      <w:r>
        <w:rPr>
          <w:rFonts w:hint="eastAsia" w:ascii="宋体" w:hAnsi="宋体" w:cs="仿宋_GB2312"/>
          <w:szCs w:val="21"/>
        </w:rPr>
        <w:t>3.在发生引致保险索赔的事件时，提供事故处理建议，协助招标人准备索赔文件，定期查询保险公司赔付进程，与保险公司及其他关系方沟通协调，督促保险赔款及时到位。</w:t>
      </w:r>
    </w:p>
    <w:p>
      <w:pPr>
        <w:pStyle w:val="11"/>
        <w:spacing w:line="360" w:lineRule="auto"/>
        <w:ind w:firstLineChars="200"/>
        <w:rPr>
          <w:rFonts w:ascii="宋体" w:hAnsi="宋体" w:cs="仿宋_GB2312"/>
          <w:szCs w:val="21"/>
        </w:rPr>
      </w:pPr>
      <w:r>
        <w:rPr>
          <w:rFonts w:hint="eastAsia" w:ascii="宋体" w:hAnsi="宋体" w:cs="仿宋_GB2312"/>
          <w:szCs w:val="21"/>
        </w:rPr>
        <w:t>4. 在合同履行期间，招标人因可能发生的主体变更、资产整合、经营管理或政府行为等任何需要或情况，有权将本合同相关权利义务部分或全部转让其他第三方履行，该转让行为在招标人发出书面通知后，投标人应当配合招标人办理相关合同主体变更等手续，并向相关第三方继续履行合同。</w:t>
      </w:r>
    </w:p>
    <w:p>
      <w:pPr>
        <w:pStyle w:val="11"/>
        <w:spacing w:line="360" w:lineRule="auto"/>
        <w:ind w:firstLineChars="200"/>
        <w:rPr>
          <w:rFonts w:ascii="宋体" w:hAnsi="宋体" w:cs="仿宋_GB2312"/>
          <w:szCs w:val="21"/>
        </w:rPr>
      </w:pPr>
      <w:r>
        <w:rPr>
          <w:rFonts w:hint="eastAsia" w:ascii="宋体" w:hAnsi="宋体" w:cs="仿宋_GB2312"/>
          <w:szCs w:val="21"/>
        </w:rPr>
        <w:t>5.提供我国相关法律、法规所规定的其他保险经纪服务。</w:t>
      </w:r>
    </w:p>
    <w:p>
      <w:pPr>
        <w:pStyle w:val="3"/>
        <w:spacing w:line="360" w:lineRule="auto"/>
        <w:rPr>
          <w:rFonts w:ascii="宋体" w:hAnsi="宋体"/>
          <w:sz w:val="21"/>
          <w:szCs w:val="21"/>
        </w:rPr>
      </w:pPr>
      <w:bookmarkStart w:id="22" w:name="_Toc5609"/>
      <w:r>
        <w:rPr>
          <w:rFonts w:hint="eastAsia" w:ascii="宋体" w:hAnsi="宋体"/>
          <w:sz w:val="21"/>
          <w:szCs w:val="21"/>
        </w:rPr>
        <w:t>五</w:t>
      </w:r>
      <w:r>
        <w:rPr>
          <w:rFonts w:ascii="宋体" w:hAnsi="宋体"/>
          <w:sz w:val="21"/>
          <w:szCs w:val="21"/>
        </w:rPr>
        <w:t>、服务方案</w:t>
      </w:r>
      <w:bookmarkEnd w:id="22"/>
    </w:p>
    <w:p>
      <w:pPr>
        <w:pStyle w:val="4"/>
        <w:ind w:firstLine="280"/>
        <w:rPr>
          <w:rFonts w:ascii="宋体" w:hAnsi="宋体"/>
          <w:sz w:val="21"/>
          <w:szCs w:val="21"/>
        </w:rPr>
      </w:pPr>
      <w:bookmarkStart w:id="23" w:name="_Toc16543"/>
      <w:r>
        <w:rPr>
          <w:rFonts w:hint="eastAsia" w:ascii="宋体" w:hAnsi="宋体"/>
          <w:sz w:val="21"/>
          <w:szCs w:val="21"/>
        </w:rPr>
        <w:t>（一）</w:t>
      </w:r>
      <w:r>
        <w:rPr>
          <w:rFonts w:ascii="宋体" w:hAnsi="宋体"/>
          <w:sz w:val="21"/>
          <w:szCs w:val="21"/>
        </w:rPr>
        <w:t>投标人基本情况介绍</w:t>
      </w:r>
      <w:bookmarkEnd w:id="23"/>
    </w:p>
    <w:p>
      <w:pPr>
        <w:pStyle w:val="4"/>
        <w:ind w:firstLine="280"/>
        <w:rPr>
          <w:rFonts w:ascii="宋体" w:hAnsi="宋体"/>
          <w:sz w:val="21"/>
          <w:szCs w:val="21"/>
        </w:rPr>
      </w:pPr>
      <w:bookmarkStart w:id="24" w:name="_Toc12462"/>
      <w:r>
        <w:rPr>
          <w:rFonts w:hint="eastAsia" w:ascii="宋体" w:hAnsi="宋体"/>
          <w:sz w:val="21"/>
          <w:szCs w:val="21"/>
        </w:rPr>
        <w:t>（二）</w:t>
      </w:r>
      <w:r>
        <w:rPr>
          <w:rFonts w:ascii="宋体" w:hAnsi="宋体"/>
          <w:sz w:val="21"/>
          <w:szCs w:val="21"/>
        </w:rPr>
        <w:t>保险经纪服务范围和内容</w:t>
      </w:r>
      <w:bookmarkEnd w:id="24"/>
    </w:p>
    <w:p>
      <w:pPr>
        <w:pStyle w:val="11"/>
        <w:spacing w:line="360" w:lineRule="auto"/>
        <w:ind w:firstLineChars="200"/>
        <w:rPr>
          <w:rFonts w:ascii="宋体" w:hAnsi="宋体" w:cs="仿宋_GB2312"/>
          <w:szCs w:val="21"/>
        </w:rPr>
      </w:pPr>
      <w:r>
        <w:rPr>
          <w:rFonts w:ascii="宋体" w:hAnsi="宋体" w:cs="仿宋_GB2312"/>
          <w:szCs w:val="21"/>
        </w:rPr>
        <w:t>投标人根据招标文件要求，提出服务范围、内容及深度。上述每项服务内容都需详细描述具体服务设想、计划、并说明各阶段的人员投入、工作流程、时间安排及办公场地等。</w:t>
      </w:r>
    </w:p>
    <w:p>
      <w:pPr>
        <w:pStyle w:val="4"/>
        <w:ind w:firstLine="280"/>
        <w:rPr>
          <w:rFonts w:ascii="宋体" w:hAnsi="宋体"/>
          <w:sz w:val="21"/>
          <w:szCs w:val="21"/>
        </w:rPr>
      </w:pPr>
      <w:bookmarkStart w:id="25" w:name="_Toc20451"/>
      <w:r>
        <w:rPr>
          <w:rFonts w:hint="eastAsia" w:ascii="宋体" w:hAnsi="宋体"/>
          <w:sz w:val="21"/>
          <w:szCs w:val="21"/>
        </w:rPr>
        <w:t>（三）</w:t>
      </w:r>
      <w:r>
        <w:rPr>
          <w:rFonts w:ascii="宋体" w:hAnsi="宋体"/>
          <w:sz w:val="21"/>
          <w:szCs w:val="21"/>
        </w:rPr>
        <w:t>风险评估报告及风险管理计划</w:t>
      </w:r>
      <w:bookmarkEnd w:id="25"/>
    </w:p>
    <w:p>
      <w:pPr>
        <w:pStyle w:val="4"/>
        <w:ind w:firstLine="280"/>
        <w:rPr>
          <w:rFonts w:ascii="宋体" w:hAnsi="宋体"/>
          <w:sz w:val="21"/>
          <w:szCs w:val="21"/>
        </w:rPr>
      </w:pPr>
      <w:bookmarkStart w:id="26" w:name="_Toc9292"/>
      <w:r>
        <w:rPr>
          <w:rFonts w:hint="eastAsia" w:ascii="宋体" w:hAnsi="宋体"/>
          <w:sz w:val="21"/>
          <w:szCs w:val="21"/>
        </w:rPr>
        <w:t>（四）</w:t>
      </w:r>
      <w:r>
        <w:rPr>
          <w:rFonts w:ascii="宋体" w:hAnsi="宋体"/>
          <w:sz w:val="21"/>
          <w:szCs w:val="21"/>
        </w:rPr>
        <w:t>保险方案设计，包括但不限于以下内容:</w:t>
      </w:r>
      <w:bookmarkEnd w:id="26"/>
    </w:p>
    <w:p>
      <w:pPr>
        <w:pStyle w:val="11"/>
        <w:spacing w:line="360" w:lineRule="auto"/>
        <w:ind w:firstLineChars="200"/>
        <w:rPr>
          <w:rFonts w:ascii="宋体" w:hAnsi="宋体" w:cs="仿宋_GB2312"/>
          <w:szCs w:val="21"/>
        </w:rPr>
      </w:pPr>
      <w:r>
        <w:rPr>
          <w:rFonts w:ascii="宋体" w:hAnsi="宋体" w:cs="仿宋_GB2312"/>
          <w:szCs w:val="21"/>
        </w:rPr>
        <w:t>1.险种的选择和组合;</w:t>
      </w:r>
    </w:p>
    <w:p>
      <w:pPr>
        <w:pStyle w:val="11"/>
        <w:spacing w:line="360" w:lineRule="auto"/>
        <w:ind w:firstLineChars="200"/>
        <w:rPr>
          <w:rFonts w:ascii="宋体" w:hAnsi="宋体" w:cs="仿宋_GB2312"/>
          <w:szCs w:val="21"/>
        </w:rPr>
      </w:pPr>
      <w:r>
        <w:rPr>
          <w:rFonts w:ascii="宋体" w:hAnsi="宋体" w:cs="仿宋_GB2312"/>
          <w:szCs w:val="21"/>
        </w:rPr>
        <w:t>2.现有保险扩展条款的选择和完善;</w:t>
      </w:r>
    </w:p>
    <w:p>
      <w:pPr>
        <w:pStyle w:val="11"/>
        <w:spacing w:line="360" w:lineRule="auto"/>
        <w:ind w:firstLineChars="200"/>
        <w:rPr>
          <w:rFonts w:ascii="宋体" w:hAnsi="宋体" w:cs="仿宋_GB2312"/>
          <w:szCs w:val="21"/>
        </w:rPr>
      </w:pPr>
      <w:r>
        <w:rPr>
          <w:rFonts w:ascii="宋体" w:hAnsi="宋体" w:cs="仿宋_GB2312"/>
          <w:szCs w:val="21"/>
        </w:rPr>
        <w:t>3.投保条件的设计，包括保费、免赔额、赔偿限额等;</w:t>
      </w:r>
    </w:p>
    <w:p>
      <w:pPr>
        <w:pStyle w:val="11"/>
        <w:spacing w:line="360" w:lineRule="auto"/>
        <w:ind w:firstLineChars="200"/>
        <w:rPr>
          <w:rFonts w:ascii="宋体" w:hAnsi="宋体" w:cs="仿宋_GB2312"/>
          <w:szCs w:val="21"/>
        </w:rPr>
      </w:pPr>
      <w:r>
        <w:rPr>
          <w:rFonts w:ascii="宋体" w:hAnsi="宋体" w:cs="仿宋_GB2312"/>
          <w:szCs w:val="21"/>
        </w:rPr>
        <w:t>4.保险人组合设计、保险采购形式及谈判策略;</w:t>
      </w:r>
    </w:p>
    <w:p>
      <w:pPr>
        <w:pStyle w:val="11"/>
        <w:spacing w:line="360" w:lineRule="auto"/>
        <w:ind w:firstLineChars="200"/>
        <w:rPr>
          <w:rFonts w:ascii="宋体" w:hAnsi="宋体" w:cs="仿宋_GB2312"/>
          <w:szCs w:val="21"/>
        </w:rPr>
      </w:pPr>
      <w:r>
        <w:rPr>
          <w:rFonts w:ascii="宋体" w:hAnsi="宋体" w:cs="仿宋_GB2312"/>
          <w:szCs w:val="21"/>
        </w:rPr>
        <w:t>5.保险费估算及费用明细;</w:t>
      </w:r>
    </w:p>
    <w:p>
      <w:pPr>
        <w:pStyle w:val="11"/>
        <w:spacing w:line="360" w:lineRule="auto"/>
        <w:ind w:firstLineChars="200"/>
        <w:rPr>
          <w:rFonts w:ascii="宋体" w:hAnsi="宋体" w:cs="仿宋_GB2312"/>
          <w:szCs w:val="21"/>
        </w:rPr>
      </w:pPr>
      <w:r>
        <w:rPr>
          <w:rFonts w:ascii="宋体" w:hAnsi="宋体" w:cs="仿宋_GB2312"/>
          <w:szCs w:val="21"/>
        </w:rPr>
        <w:t>6.再保险安排设想;</w:t>
      </w:r>
    </w:p>
    <w:p>
      <w:pPr>
        <w:pStyle w:val="11"/>
        <w:spacing w:line="360" w:lineRule="auto"/>
        <w:ind w:firstLineChars="200"/>
        <w:rPr>
          <w:rFonts w:ascii="宋体" w:hAnsi="宋体" w:cs="仿宋_GB2312"/>
          <w:szCs w:val="21"/>
        </w:rPr>
      </w:pPr>
      <w:r>
        <w:rPr>
          <w:rFonts w:ascii="宋体" w:hAnsi="宋体" w:cs="仿宋_GB2312"/>
          <w:szCs w:val="21"/>
        </w:rPr>
        <w:t>7.保险工作时间进度安排。</w:t>
      </w:r>
    </w:p>
    <w:p>
      <w:pPr>
        <w:pStyle w:val="4"/>
        <w:ind w:firstLine="280"/>
        <w:rPr>
          <w:rFonts w:ascii="宋体" w:hAnsi="宋体"/>
          <w:sz w:val="21"/>
          <w:szCs w:val="21"/>
        </w:rPr>
      </w:pPr>
      <w:bookmarkStart w:id="27" w:name="_Toc20581"/>
      <w:r>
        <w:rPr>
          <w:rFonts w:hint="eastAsia" w:ascii="宋体" w:hAnsi="宋体"/>
          <w:sz w:val="21"/>
          <w:szCs w:val="21"/>
        </w:rPr>
        <w:t>（五）</w:t>
      </w:r>
      <w:r>
        <w:rPr>
          <w:rFonts w:ascii="宋体" w:hAnsi="宋体"/>
          <w:sz w:val="21"/>
          <w:szCs w:val="21"/>
        </w:rPr>
        <w:t>合理化建议</w:t>
      </w:r>
      <w:bookmarkEnd w:id="27"/>
    </w:p>
    <w:p>
      <w:pPr>
        <w:pStyle w:val="11"/>
        <w:spacing w:line="360" w:lineRule="auto"/>
        <w:ind w:firstLine="0" w:firstLineChars="0"/>
        <w:rPr>
          <w:rFonts w:ascii="宋体" w:hAnsi="宋体" w:cs="仿宋_GB2312"/>
          <w:szCs w:val="21"/>
        </w:rPr>
      </w:pPr>
      <w:r>
        <w:rPr>
          <w:rFonts w:ascii="宋体" w:hAnsi="宋体" w:cs="仿宋_GB2312"/>
          <w:szCs w:val="21"/>
        </w:rPr>
        <w:t xml:space="preserve">    招标人鼓励投标人对本项目的风险管理、投保策略等提出合理化建议，展示投标人的专业水平，为本项目保险提供有益的参考。</w:t>
      </w:r>
    </w:p>
    <w:p>
      <w:pPr>
        <w:pStyle w:val="4"/>
        <w:ind w:firstLine="280"/>
        <w:rPr>
          <w:rFonts w:ascii="宋体" w:hAnsi="宋体"/>
          <w:sz w:val="21"/>
          <w:szCs w:val="21"/>
        </w:rPr>
      </w:pPr>
      <w:bookmarkStart w:id="28" w:name="_Toc20939"/>
      <w:r>
        <w:rPr>
          <w:rFonts w:hint="eastAsia" w:ascii="宋体" w:hAnsi="宋体"/>
          <w:sz w:val="21"/>
          <w:szCs w:val="21"/>
        </w:rPr>
        <w:t>（六）</w:t>
      </w:r>
      <w:r>
        <w:rPr>
          <w:rFonts w:ascii="宋体" w:hAnsi="宋体"/>
          <w:sz w:val="21"/>
          <w:szCs w:val="21"/>
        </w:rPr>
        <w:t>情景案例</w:t>
      </w:r>
      <w:bookmarkEnd w:id="28"/>
    </w:p>
    <w:p>
      <w:pPr>
        <w:pStyle w:val="7"/>
        <w:spacing w:before="156" w:beforeLines="50" w:after="156" w:afterLines="50" w:line="360" w:lineRule="auto"/>
        <w:rPr>
          <w:rFonts w:hAnsi="宋体"/>
          <w:b/>
          <w:szCs w:val="21"/>
        </w:rPr>
      </w:pPr>
      <w:r>
        <w:rPr>
          <w:rFonts w:hAnsi="宋体" w:cs="仿宋_GB2312"/>
          <w:szCs w:val="21"/>
        </w:rPr>
        <w:t>投标人须针对此次新冠肺炎疫情，将招标人作为地铁运营商，编制和阐述如何预防运营范围内疫情的发生及扩散，保障乘客及员工的生命健康安全，维护招标人的利益的案例。</w:t>
      </w: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spacing w:before="156" w:beforeLines="50" w:after="156" w:afterLines="50" w:line="360" w:lineRule="auto"/>
        <w:jc w:val="center"/>
        <w:rPr>
          <w:rFonts w:ascii="Times New Roman" w:hAnsi="Times New Roman"/>
          <w:b/>
          <w:sz w:val="28"/>
          <w:szCs w:val="28"/>
        </w:rPr>
      </w:pPr>
    </w:p>
    <w:p>
      <w:pPr>
        <w:pStyle w:val="7"/>
        <w:tabs>
          <w:tab w:val="left" w:pos="2472"/>
        </w:tabs>
        <w:spacing w:before="156" w:beforeLines="50" w:line="360" w:lineRule="auto"/>
        <w:ind w:left="357" w:leftChars="170" w:firstLine="67" w:firstLineChars="21"/>
        <w:jc w:val="center"/>
        <w:rPr>
          <w:rFonts w:hAnsi="宋体"/>
          <w:b/>
          <w:sz w:val="32"/>
          <w:szCs w:val="32"/>
        </w:rPr>
      </w:pPr>
      <w:r>
        <w:rPr>
          <w:rFonts w:hint="eastAsia"/>
          <w:b/>
          <w:sz w:val="32"/>
          <w:szCs w:val="32"/>
        </w:rPr>
        <w:t>第六章　投标文件格式</w:t>
      </w:r>
      <w:bookmarkStart w:id="29" w:name="_Toc45506740"/>
      <w:bookmarkStart w:id="30" w:name="_Toc47756041"/>
      <w:bookmarkStart w:id="31" w:name="_Toc15805942"/>
      <w:bookmarkStart w:id="32" w:name="_Toc15813259"/>
    </w:p>
    <w:p>
      <w:pPr>
        <w:spacing w:line="360" w:lineRule="auto"/>
        <w:outlineLvl w:val="1"/>
        <w:rPr>
          <w:sz w:val="24"/>
        </w:rPr>
      </w:pPr>
    </w:p>
    <w:bookmarkEnd w:id="29"/>
    <w:bookmarkEnd w:id="30"/>
    <w:bookmarkEnd w:id="31"/>
    <w:bookmarkEnd w:id="32"/>
    <w:p>
      <w:pPr>
        <w:spacing w:line="360" w:lineRule="auto"/>
        <w:ind w:firstLine="472" w:firstLineChars="196"/>
        <w:rPr>
          <w:rFonts w:ascii="宋体" w:hAnsi="宋体"/>
          <w:b/>
          <w:sz w:val="24"/>
        </w:rPr>
      </w:pPr>
      <w:r>
        <w:rPr>
          <w:rFonts w:hint="eastAsia" w:ascii="宋体" w:hAnsi="宋体"/>
          <w:b/>
          <w:sz w:val="24"/>
        </w:rPr>
        <w:t>一、投标人提交投标文件须知：</w:t>
      </w:r>
    </w:p>
    <w:p>
      <w:pPr>
        <w:spacing w:line="360" w:lineRule="auto"/>
        <w:ind w:left="1" w:firstLine="367" w:firstLineChars="175"/>
        <w:rPr>
          <w:rFonts w:ascii="宋体" w:hAnsi="宋体"/>
          <w:szCs w:val="21"/>
        </w:rPr>
      </w:pPr>
      <w:r>
        <w:rPr>
          <w:rFonts w:hint="eastAsia" w:ascii="宋体" w:hAnsi="宋体"/>
          <w:szCs w:val="21"/>
        </w:rPr>
        <w:t>1.投标人应按照投标人须知中规定内容顺序填写和提交下述规定的全部格式文件以及其他有关资料，混乱的编排导致投标文件被误读或评标委员会查找不到有效文件是投标人的风险。</w:t>
      </w:r>
    </w:p>
    <w:p>
      <w:pPr>
        <w:spacing w:line="360" w:lineRule="auto"/>
        <w:ind w:left="1" w:firstLine="367" w:firstLineChars="175"/>
        <w:rPr>
          <w:rFonts w:ascii="宋体" w:hAnsi="宋体"/>
          <w:szCs w:val="21"/>
        </w:rPr>
      </w:pPr>
      <w:r>
        <w:rPr>
          <w:rFonts w:hint="eastAsia" w:ascii="宋体" w:hAnsi="宋体"/>
          <w:szCs w:val="21"/>
        </w:rPr>
        <w:t>2.所附表格中要求回答的全部问题和/或信息都必须正面回答。</w:t>
      </w:r>
    </w:p>
    <w:p>
      <w:pPr>
        <w:spacing w:line="360" w:lineRule="auto"/>
        <w:ind w:left="1" w:firstLine="367" w:firstLineChars="175"/>
        <w:rPr>
          <w:rFonts w:ascii="宋体" w:hAnsi="宋体"/>
          <w:szCs w:val="21"/>
        </w:rPr>
      </w:pPr>
      <w:r>
        <w:rPr>
          <w:rFonts w:hint="eastAsia" w:ascii="宋体" w:hAnsi="宋体"/>
          <w:szCs w:val="21"/>
        </w:rPr>
        <w:t>3.本声明书的签字人应保证全部声明和问题的回答是真实的和准确的。</w:t>
      </w:r>
    </w:p>
    <w:p>
      <w:pPr>
        <w:spacing w:line="360" w:lineRule="auto"/>
        <w:ind w:left="1" w:firstLine="371" w:firstLineChars="177"/>
        <w:rPr>
          <w:rFonts w:ascii="宋体" w:hAnsi="宋体"/>
          <w:szCs w:val="21"/>
        </w:rPr>
      </w:pPr>
      <w:r>
        <w:rPr>
          <w:rFonts w:hint="eastAsia" w:ascii="宋体" w:hAnsi="宋体"/>
          <w:szCs w:val="21"/>
        </w:rPr>
        <w:t>4.评标委员会将应用投标人提交的资料根据自己的判断和考虑决定投标人履行合同的合格性及能力。</w:t>
      </w:r>
    </w:p>
    <w:p>
      <w:pPr>
        <w:spacing w:line="360" w:lineRule="auto"/>
        <w:ind w:left="1" w:firstLine="367" w:firstLineChars="175"/>
        <w:rPr>
          <w:rFonts w:ascii="宋体" w:hAnsi="宋体"/>
          <w:szCs w:val="21"/>
        </w:rPr>
      </w:pPr>
      <w:r>
        <w:rPr>
          <w:rFonts w:hint="eastAsia" w:ascii="宋体" w:hAnsi="宋体"/>
          <w:szCs w:val="21"/>
        </w:rPr>
        <w:t>5.投标人提交的材料将在一定期限内被保密保存，但不退还。</w:t>
      </w:r>
    </w:p>
    <w:p>
      <w:pPr>
        <w:spacing w:line="360" w:lineRule="auto"/>
        <w:ind w:left="1" w:firstLine="367" w:firstLineChars="175"/>
        <w:rPr>
          <w:rFonts w:ascii="宋体" w:hAnsi="宋体"/>
          <w:szCs w:val="21"/>
        </w:rPr>
      </w:pPr>
      <w:r>
        <w:rPr>
          <w:rFonts w:hint="eastAsia" w:ascii="宋体" w:hAnsi="宋体"/>
          <w:szCs w:val="21"/>
        </w:rPr>
        <w:t>6.全部文件应按投标人须知中规定的语言和份数提交。</w:t>
      </w:r>
    </w:p>
    <w:p>
      <w:pPr>
        <w:spacing w:line="360" w:lineRule="auto"/>
        <w:ind w:firstLine="472" w:firstLineChars="196"/>
        <w:rPr>
          <w:rFonts w:ascii="宋体" w:hAnsi="宋体"/>
          <w:b/>
          <w:sz w:val="24"/>
        </w:rPr>
      </w:pPr>
      <w:r>
        <w:rPr>
          <w:rFonts w:hint="eastAsia" w:ascii="宋体" w:hAnsi="宋体"/>
          <w:b/>
          <w:sz w:val="24"/>
        </w:rPr>
        <w:t>二、投标文件相关格式附后：</w:t>
      </w:r>
    </w:p>
    <w:p>
      <w:pPr>
        <w:spacing w:line="360" w:lineRule="auto"/>
        <w:ind w:left="1" w:firstLine="420" w:firstLineChars="175"/>
        <w:rPr>
          <w:rFonts w:ascii="宋体" w:hAnsi="宋体"/>
          <w:sz w:val="24"/>
        </w:rPr>
      </w:pPr>
      <w:r>
        <w:rPr>
          <w:rFonts w:hint="eastAsia" w:ascii="宋体" w:hAnsi="宋体"/>
          <w:sz w:val="24"/>
        </w:rPr>
        <w:t>未提供格式的，投标人按评标办法中的内容自行制作。</w:t>
      </w:r>
    </w:p>
    <w:p>
      <w:pPr>
        <w:spacing w:line="360" w:lineRule="auto"/>
        <w:jc w:val="center"/>
        <w:outlineLvl w:val="0"/>
        <w:rPr>
          <w:rFonts w:ascii="宋体" w:hAnsi="宋体" w:cs="宋体"/>
          <w:b/>
          <w:kern w:val="0"/>
          <w:sz w:val="36"/>
          <w:szCs w:val="36"/>
        </w:rPr>
      </w:pPr>
    </w:p>
    <w:p>
      <w:pPr>
        <w:spacing w:line="360" w:lineRule="auto"/>
        <w:jc w:val="center"/>
        <w:outlineLvl w:val="0"/>
        <w:rPr>
          <w:rFonts w:ascii="宋体" w:hAnsi="宋体" w:cs="宋体"/>
          <w:b/>
          <w:kern w:val="0"/>
          <w:sz w:val="36"/>
          <w:szCs w:val="36"/>
        </w:rPr>
      </w:pPr>
    </w:p>
    <w:p>
      <w:pPr>
        <w:spacing w:before="156" w:beforeLines="50" w:after="156" w:afterLines="50" w:line="360" w:lineRule="auto"/>
        <w:jc w:val="left"/>
        <w:rPr>
          <w:rFonts w:hint="eastAsia" w:ascii="宋体" w:hAnsi="宋体" w:cs="宋体"/>
          <w:b/>
          <w:kern w:val="0"/>
          <w:sz w:val="36"/>
          <w:szCs w:val="36"/>
        </w:rPr>
      </w:pPr>
      <w:r>
        <w:rPr>
          <w:rFonts w:ascii="宋体" w:hAnsi="宋体" w:cs="宋体"/>
          <w:b/>
          <w:kern w:val="0"/>
          <w:sz w:val="36"/>
          <w:szCs w:val="36"/>
        </w:rPr>
        <w:br w:type="page"/>
      </w:r>
    </w:p>
    <w:p>
      <w:pPr>
        <w:pStyle w:val="2"/>
        <w:rPr>
          <w:rFonts w:hint="eastAsia"/>
        </w:rPr>
      </w:pPr>
    </w:p>
    <w:p>
      <w:pPr>
        <w:spacing w:before="156" w:beforeLines="50" w:after="156" w:afterLines="50" w:line="360" w:lineRule="auto"/>
        <w:jc w:val="left"/>
        <w:rPr>
          <w:rFonts w:ascii="宋体" w:hAnsi="宋体" w:cs="宋体"/>
          <w:b/>
          <w:kern w:val="0"/>
          <w:sz w:val="24"/>
        </w:rPr>
      </w:pPr>
      <w:r>
        <w:rPr>
          <w:rFonts w:hint="eastAsia" w:ascii="宋体" w:hAnsi="宋体" w:cs="宋体"/>
          <w:b/>
          <w:kern w:val="0"/>
          <w:sz w:val="24"/>
        </w:rPr>
        <w:t>投标文件封面格式：</w:t>
      </w:r>
    </w:p>
    <w:p>
      <w:pPr>
        <w:spacing w:before="156" w:beforeLines="50" w:after="156" w:afterLines="50" w:line="360" w:lineRule="auto"/>
        <w:jc w:val="right"/>
        <w:rPr>
          <w:rFonts w:ascii="宋体" w:hAnsi="宋体" w:cs="宋体"/>
          <w:b/>
          <w:kern w:val="0"/>
          <w:sz w:val="36"/>
          <w:szCs w:val="36"/>
          <w:bdr w:val="single" w:color="auto" w:sz="4" w:space="0"/>
        </w:rPr>
      </w:pPr>
      <w:r>
        <w:rPr>
          <w:rFonts w:hint="eastAsia" w:ascii="宋体" w:hAnsi="宋体" w:cs="宋体"/>
          <w:b/>
          <w:kern w:val="0"/>
          <w:sz w:val="36"/>
          <w:szCs w:val="36"/>
          <w:bdr w:val="single" w:color="auto" w:sz="4" w:space="0"/>
        </w:rPr>
        <w:t>正本或副本</w:t>
      </w:r>
    </w:p>
    <w:p>
      <w:pPr>
        <w:spacing w:before="156" w:beforeLines="50" w:after="156" w:afterLines="50" w:line="360" w:lineRule="auto"/>
        <w:jc w:val="center"/>
        <w:rPr>
          <w:rFonts w:ascii="宋体" w:hAnsi="宋体" w:cs="宋体"/>
          <w:b/>
          <w:kern w:val="0"/>
          <w:sz w:val="36"/>
          <w:szCs w:val="36"/>
        </w:rPr>
      </w:pPr>
    </w:p>
    <w:p>
      <w:pPr>
        <w:tabs>
          <w:tab w:val="left" w:pos="9000"/>
        </w:tabs>
        <w:adjustRightInd w:val="0"/>
        <w:snapToGrid w:val="0"/>
        <w:spacing w:line="360" w:lineRule="auto"/>
        <w:jc w:val="center"/>
        <w:rPr>
          <w:rFonts w:ascii="宋体" w:hAnsi="宋体"/>
          <w:b/>
          <w:sz w:val="36"/>
          <w:szCs w:val="36"/>
        </w:rPr>
      </w:pPr>
    </w:p>
    <w:p>
      <w:pPr>
        <w:tabs>
          <w:tab w:val="left" w:pos="9000"/>
        </w:tabs>
        <w:adjustRightInd w:val="0"/>
        <w:snapToGrid w:val="0"/>
        <w:spacing w:line="360" w:lineRule="auto"/>
        <w:jc w:val="center"/>
        <w:rPr>
          <w:rFonts w:hint="eastAsia" w:ascii="宋体" w:hAnsi="宋体"/>
          <w:b/>
          <w:sz w:val="36"/>
          <w:szCs w:val="36"/>
        </w:rPr>
      </w:pPr>
      <w:r>
        <w:rPr>
          <w:rFonts w:hint="eastAsia" w:ascii="宋体" w:hAnsi="宋体"/>
          <w:b/>
          <w:sz w:val="36"/>
          <w:szCs w:val="36"/>
          <w:u w:val="single"/>
        </w:rPr>
        <w:t xml:space="preserve">                   </w:t>
      </w:r>
      <w:r>
        <w:rPr>
          <w:rFonts w:hint="eastAsia" w:ascii="宋体" w:hAnsi="宋体"/>
          <w:b/>
          <w:sz w:val="36"/>
          <w:szCs w:val="36"/>
        </w:rPr>
        <w:t>项目</w:t>
      </w:r>
    </w:p>
    <w:p>
      <w:pPr>
        <w:spacing w:before="156" w:beforeLines="50" w:after="156" w:afterLines="50" w:line="360" w:lineRule="auto"/>
        <w:jc w:val="center"/>
        <w:rPr>
          <w:rFonts w:ascii="宋体" w:hAnsi="宋体"/>
          <w:b/>
          <w:sz w:val="48"/>
          <w:szCs w:val="48"/>
        </w:rPr>
      </w:pPr>
    </w:p>
    <w:p>
      <w:pPr>
        <w:spacing w:line="360" w:lineRule="auto"/>
        <w:rPr>
          <w:rFonts w:ascii="宋体" w:hAnsi="宋体"/>
          <w:b/>
          <w:sz w:val="28"/>
        </w:rPr>
      </w:pPr>
    </w:p>
    <w:p>
      <w:pPr>
        <w:spacing w:line="360" w:lineRule="auto"/>
        <w:jc w:val="center"/>
        <w:rPr>
          <w:rFonts w:ascii="宋体" w:hAnsi="宋体"/>
          <w:sz w:val="32"/>
        </w:rPr>
      </w:pPr>
    </w:p>
    <w:p>
      <w:pPr>
        <w:spacing w:line="360" w:lineRule="auto"/>
        <w:jc w:val="center"/>
        <w:rPr>
          <w:rFonts w:ascii="宋体" w:hAnsi="宋体"/>
          <w:b/>
          <w:sz w:val="72"/>
          <w:szCs w:val="72"/>
        </w:rPr>
      </w:pPr>
      <w:r>
        <w:rPr>
          <w:rFonts w:hint="eastAsia" w:ascii="宋体" w:hAnsi="宋体"/>
          <w:b/>
          <w:sz w:val="72"/>
          <w:szCs w:val="72"/>
        </w:rPr>
        <w:t>投标文件</w:t>
      </w:r>
    </w:p>
    <w:p>
      <w:pPr>
        <w:spacing w:line="360" w:lineRule="auto"/>
        <w:jc w:val="center"/>
        <w:rPr>
          <w:rFonts w:ascii="宋体" w:hAnsi="宋体"/>
          <w:sz w:val="32"/>
        </w:rPr>
      </w:pPr>
      <w:r>
        <w:rPr>
          <w:rFonts w:hint="eastAsia" w:ascii="宋体" w:hAnsi="宋体"/>
          <w:sz w:val="32"/>
        </w:rPr>
        <w:t>商务报价</w:t>
      </w:r>
    </w:p>
    <w:p>
      <w:pPr>
        <w:spacing w:line="360" w:lineRule="auto"/>
        <w:jc w:val="center"/>
        <w:rPr>
          <w:rFonts w:ascii="宋体" w:hAnsi="宋体"/>
          <w:sz w:val="32"/>
        </w:rPr>
      </w:pPr>
    </w:p>
    <w:p>
      <w:pPr>
        <w:spacing w:line="360" w:lineRule="auto"/>
        <w:rPr>
          <w:rFonts w:ascii="宋体" w:hAnsi="宋体"/>
          <w:sz w:val="32"/>
        </w:rPr>
      </w:pPr>
    </w:p>
    <w:p>
      <w:pPr>
        <w:spacing w:line="360" w:lineRule="auto"/>
        <w:rPr>
          <w:rFonts w:ascii="宋体" w:hAnsi="宋体"/>
          <w:sz w:val="32"/>
        </w:rPr>
      </w:pPr>
    </w:p>
    <w:p>
      <w:pPr>
        <w:spacing w:line="360" w:lineRule="auto"/>
        <w:jc w:val="center"/>
        <w:rPr>
          <w:rFonts w:ascii="宋体" w:hAnsi="宋体"/>
          <w:sz w:val="32"/>
        </w:rPr>
      </w:pPr>
    </w:p>
    <w:p>
      <w:pPr>
        <w:pStyle w:val="9"/>
        <w:spacing w:line="360" w:lineRule="auto"/>
        <w:ind w:firstLine="1129" w:firstLineChars="353"/>
        <w:jc w:val="left"/>
        <w:rPr>
          <w:rFonts w:ascii="宋体" w:hAnsi="宋体"/>
          <w:sz w:val="32"/>
          <w:szCs w:val="32"/>
        </w:rPr>
      </w:pPr>
      <w:r>
        <w:rPr>
          <w:rFonts w:hint="eastAsia" w:ascii="宋体" w:hAnsi="宋体"/>
          <w:sz w:val="32"/>
          <w:szCs w:val="32"/>
        </w:rPr>
        <w:t>投标人：（盖章）</w:t>
      </w:r>
    </w:p>
    <w:p>
      <w:pPr>
        <w:pStyle w:val="9"/>
        <w:spacing w:line="360" w:lineRule="auto"/>
        <w:ind w:firstLine="1129" w:firstLineChars="353"/>
        <w:jc w:val="left"/>
        <w:rPr>
          <w:rFonts w:ascii="宋体" w:hAnsi="宋体"/>
          <w:sz w:val="32"/>
          <w:szCs w:val="32"/>
        </w:rPr>
      </w:pPr>
      <w:r>
        <w:rPr>
          <w:rFonts w:hint="eastAsia" w:ascii="宋体" w:hAnsi="宋体"/>
          <w:sz w:val="32"/>
          <w:szCs w:val="32"/>
        </w:rPr>
        <w:t>法定代表人或授权委托人：（签字或盖章）</w:t>
      </w:r>
    </w:p>
    <w:p>
      <w:pPr>
        <w:pStyle w:val="9"/>
        <w:spacing w:line="360" w:lineRule="auto"/>
        <w:jc w:val="center"/>
        <w:rPr>
          <w:rFonts w:ascii="宋体" w:hAnsi="宋体"/>
          <w:sz w:val="32"/>
          <w:szCs w:val="32"/>
        </w:rPr>
      </w:pPr>
    </w:p>
    <w:p>
      <w:pPr>
        <w:pStyle w:val="9"/>
        <w:spacing w:line="360" w:lineRule="auto"/>
        <w:jc w:val="center"/>
        <w:rPr>
          <w:rFonts w:ascii="宋体" w:hAnsi="宋体"/>
          <w:sz w:val="32"/>
          <w:szCs w:val="32"/>
        </w:rPr>
      </w:pPr>
      <w:r>
        <w:rPr>
          <w:rFonts w:hint="eastAsia" w:ascii="宋体" w:hAnsi="宋体"/>
          <w:sz w:val="32"/>
          <w:szCs w:val="32"/>
        </w:rPr>
        <w:t>二○  年  月  日</w:t>
      </w:r>
    </w:p>
    <w:p>
      <w:pPr>
        <w:spacing w:line="360" w:lineRule="auto"/>
      </w:pPr>
    </w:p>
    <w:p>
      <w:pPr>
        <w:autoSpaceDE w:val="0"/>
        <w:autoSpaceDN w:val="0"/>
        <w:adjustRightInd w:val="0"/>
        <w:spacing w:line="360" w:lineRule="auto"/>
        <w:jc w:val="center"/>
        <w:rPr>
          <w:rFonts w:ascii="宋体" w:hAnsi="宋体"/>
          <w:b/>
          <w:sz w:val="32"/>
          <w:szCs w:val="32"/>
        </w:rPr>
      </w:pPr>
    </w:p>
    <w:p>
      <w:pPr>
        <w:autoSpaceDE w:val="0"/>
        <w:autoSpaceDN w:val="0"/>
        <w:adjustRightInd w:val="0"/>
        <w:spacing w:line="360" w:lineRule="auto"/>
        <w:jc w:val="center"/>
        <w:rPr>
          <w:rFonts w:ascii="宋体" w:hAnsi="宋体"/>
          <w:b/>
          <w:sz w:val="32"/>
          <w:szCs w:val="32"/>
        </w:rPr>
      </w:pPr>
    </w:p>
    <w:p>
      <w:pPr>
        <w:autoSpaceDE w:val="0"/>
        <w:autoSpaceDN w:val="0"/>
        <w:adjustRightInd w:val="0"/>
        <w:spacing w:line="360" w:lineRule="auto"/>
        <w:rPr>
          <w:rFonts w:ascii="宋体" w:hAnsi="宋体"/>
          <w:b/>
          <w:sz w:val="32"/>
          <w:szCs w:val="32"/>
        </w:rPr>
      </w:pPr>
    </w:p>
    <w:p>
      <w:pPr>
        <w:autoSpaceDE w:val="0"/>
        <w:autoSpaceDN w:val="0"/>
        <w:adjustRightInd w:val="0"/>
        <w:spacing w:line="360" w:lineRule="auto"/>
        <w:jc w:val="center"/>
        <w:rPr>
          <w:rFonts w:hint="eastAsia" w:ascii="宋体" w:hAnsi="宋体"/>
          <w:b/>
          <w:sz w:val="32"/>
          <w:szCs w:val="32"/>
        </w:rPr>
      </w:pPr>
      <w:r>
        <w:rPr>
          <w:rFonts w:hint="eastAsia" w:ascii="宋体" w:hAnsi="宋体"/>
          <w:b/>
          <w:sz w:val="32"/>
          <w:szCs w:val="32"/>
        </w:rPr>
        <w:t>投标（报价）一览表</w:t>
      </w:r>
    </w:p>
    <w:p>
      <w:pPr>
        <w:autoSpaceDE w:val="0"/>
        <w:autoSpaceDN w:val="0"/>
        <w:adjustRightInd w:val="0"/>
        <w:spacing w:line="360" w:lineRule="auto"/>
        <w:rPr>
          <w:rFonts w:hint="eastAsia" w:ascii="宋体" w:hAnsi="宋体"/>
          <w:b/>
          <w:sz w:val="32"/>
          <w:szCs w:val="32"/>
        </w:rPr>
      </w:pPr>
    </w:p>
    <w:p>
      <w:pPr>
        <w:autoSpaceDE w:val="0"/>
        <w:autoSpaceDN w:val="0"/>
        <w:adjustRightInd w:val="0"/>
        <w:spacing w:line="360" w:lineRule="auto"/>
        <w:rPr>
          <w:rFonts w:ascii="宋体" w:hAnsi="宋体"/>
        </w:rPr>
      </w:pPr>
      <w:r>
        <w:rPr>
          <w:rFonts w:hint="eastAsia" w:ascii="宋体" w:hAnsi="宋体"/>
        </w:rPr>
        <w:t>金华市金义东轨道交通有限公司：</w:t>
      </w:r>
    </w:p>
    <w:p>
      <w:pPr>
        <w:autoSpaceDE w:val="0"/>
        <w:autoSpaceDN w:val="0"/>
        <w:adjustRightInd w:val="0"/>
        <w:spacing w:line="360" w:lineRule="auto"/>
        <w:ind w:firstLine="630" w:firstLineChars="300"/>
        <w:jc w:val="left"/>
        <w:rPr>
          <w:rFonts w:hint="eastAsia" w:ascii="宋体" w:hAnsi="宋体"/>
        </w:rPr>
      </w:pPr>
      <w:r>
        <w:rPr>
          <w:rFonts w:hint="eastAsia" w:ascii="宋体" w:hAnsi="宋体"/>
        </w:rPr>
        <w:t>按你方招标文件要求，谨此向你方发出要约如下：如你方接受本投标，我方承诺按照如下投标（报价）一览表的价格完成招标文件之选项的实施。</w:t>
      </w:r>
    </w:p>
    <w:p>
      <w:pPr>
        <w:pStyle w:val="2"/>
        <w:spacing w:line="360" w:lineRule="auto"/>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7"/>
        <w:gridCol w:w="2743"/>
        <w:gridCol w:w="52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1" w:hRule="atLeast"/>
          <w:tblHeader/>
          <w:jc w:val="center"/>
        </w:trPr>
        <w:tc>
          <w:tcPr>
            <w:tcW w:w="827" w:type="dxa"/>
            <w:noWrap w:val="0"/>
            <w:vAlign w:val="center"/>
          </w:tcPr>
          <w:p>
            <w:pPr>
              <w:spacing w:line="360" w:lineRule="auto"/>
              <w:jc w:val="center"/>
              <w:rPr>
                <w:rFonts w:hint="eastAsia" w:ascii="宋体" w:hAnsi="宋体"/>
                <w:sz w:val="24"/>
                <w:lang w:val="en-GB"/>
              </w:rPr>
            </w:pPr>
            <w:r>
              <w:rPr>
                <w:rFonts w:hint="eastAsia" w:ascii="宋体" w:hAnsi="宋体"/>
                <w:sz w:val="24"/>
                <w:lang w:val="en-GB"/>
              </w:rPr>
              <w:t>1</w:t>
            </w:r>
          </w:p>
        </w:tc>
        <w:tc>
          <w:tcPr>
            <w:tcW w:w="2743" w:type="dxa"/>
            <w:noWrap w:val="0"/>
            <w:vAlign w:val="center"/>
          </w:tcPr>
          <w:p>
            <w:pPr>
              <w:spacing w:line="360" w:lineRule="auto"/>
              <w:jc w:val="center"/>
              <w:rPr>
                <w:rFonts w:hint="eastAsia" w:ascii="宋体" w:hAnsi="宋体"/>
                <w:sz w:val="28"/>
                <w:szCs w:val="28"/>
                <w:lang w:val="en-GB"/>
              </w:rPr>
            </w:pPr>
            <w:r>
              <w:rPr>
                <w:rFonts w:hint="eastAsia" w:ascii="宋体" w:hAnsi="宋体"/>
                <w:sz w:val="28"/>
                <w:szCs w:val="28"/>
                <w:lang w:val="en-GB"/>
              </w:rPr>
              <w:t>项目名称</w:t>
            </w:r>
          </w:p>
        </w:tc>
        <w:tc>
          <w:tcPr>
            <w:tcW w:w="5291" w:type="dxa"/>
            <w:noWrap w:val="0"/>
            <w:vAlign w:val="center"/>
          </w:tcPr>
          <w:p>
            <w:pPr>
              <w:tabs>
                <w:tab w:val="left" w:pos="9000"/>
              </w:tabs>
              <w:adjustRightInd w:val="0"/>
              <w:snapToGrid w:val="0"/>
              <w:spacing w:line="360" w:lineRule="auto"/>
              <w:jc w:val="center"/>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827" w:type="dxa"/>
            <w:vMerge w:val="restart"/>
            <w:noWrap w:val="0"/>
            <w:vAlign w:val="center"/>
          </w:tcPr>
          <w:p>
            <w:pPr>
              <w:spacing w:line="360" w:lineRule="auto"/>
              <w:jc w:val="center"/>
              <w:rPr>
                <w:rFonts w:hint="eastAsia" w:ascii="宋体" w:hAnsi="宋体"/>
                <w:sz w:val="24"/>
                <w:lang w:val="en-GB"/>
              </w:rPr>
            </w:pPr>
            <w:r>
              <w:rPr>
                <w:rFonts w:hint="eastAsia" w:ascii="宋体" w:hAnsi="宋体"/>
                <w:sz w:val="24"/>
                <w:lang w:val="en-GB"/>
              </w:rPr>
              <w:t>2</w:t>
            </w:r>
          </w:p>
        </w:tc>
        <w:tc>
          <w:tcPr>
            <w:tcW w:w="2743" w:type="dxa"/>
            <w:vMerge w:val="restart"/>
            <w:noWrap w:val="0"/>
            <w:vAlign w:val="center"/>
          </w:tcPr>
          <w:p>
            <w:pPr>
              <w:spacing w:line="360" w:lineRule="auto"/>
              <w:jc w:val="center"/>
              <w:rPr>
                <w:rFonts w:hint="eastAsia" w:ascii="宋体" w:hAnsi="宋体"/>
                <w:sz w:val="24"/>
                <w:lang w:val="en-GB"/>
              </w:rPr>
            </w:pPr>
            <w:r>
              <w:rPr>
                <w:rFonts w:hint="eastAsia" w:ascii="宋体" w:hAnsi="宋体"/>
                <w:sz w:val="24"/>
                <w:lang w:val="en-GB"/>
              </w:rPr>
              <w:t>投标总价（含税价）</w:t>
            </w:r>
          </w:p>
        </w:tc>
        <w:tc>
          <w:tcPr>
            <w:tcW w:w="5291" w:type="dxa"/>
            <w:tcBorders>
              <w:top w:val="single" w:color="auto" w:sz="4" w:space="0"/>
              <w:bottom w:val="single" w:color="auto" w:sz="4" w:space="0"/>
            </w:tcBorders>
            <w:noWrap w:val="0"/>
            <w:vAlign w:val="center"/>
          </w:tcPr>
          <w:p>
            <w:pPr>
              <w:spacing w:line="360" w:lineRule="auto"/>
              <w:rPr>
                <w:rFonts w:hint="eastAsia" w:ascii="宋体" w:hAnsi="宋体"/>
                <w:sz w:val="24"/>
                <w:lang w:val="en-GB"/>
              </w:rPr>
            </w:pPr>
            <w:r>
              <w:rPr>
                <w:rFonts w:hint="eastAsia" w:ascii="宋体" w:hAnsi="宋体"/>
                <w:sz w:val="24"/>
                <w:lang w:val="en-GB"/>
              </w:rPr>
              <w:t>小写人民币：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827" w:type="dxa"/>
            <w:vMerge w:val="continue"/>
            <w:tcBorders>
              <w:bottom w:val="single" w:color="auto" w:sz="4" w:space="0"/>
            </w:tcBorders>
            <w:noWrap w:val="0"/>
            <w:vAlign w:val="center"/>
          </w:tcPr>
          <w:p>
            <w:pPr>
              <w:spacing w:line="360" w:lineRule="auto"/>
              <w:jc w:val="center"/>
              <w:rPr>
                <w:rFonts w:hint="eastAsia" w:ascii="宋体" w:hAnsi="宋体"/>
                <w:sz w:val="24"/>
                <w:lang w:val="en-GB"/>
              </w:rPr>
            </w:pPr>
          </w:p>
        </w:tc>
        <w:tc>
          <w:tcPr>
            <w:tcW w:w="2743" w:type="dxa"/>
            <w:vMerge w:val="continue"/>
            <w:tcBorders>
              <w:bottom w:val="single" w:color="auto" w:sz="4" w:space="0"/>
            </w:tcBorders>
            <w:noWrap w:val="0"/>
            <w:vAlign w:val="center"/>
          </w:tcPr>
          <w:p>
            <w:pPr>
              <w:spacing w:line="360" w:lineRule="auto"/>
              <w:jc w:val="center"/>
              <w:rPr>
                <w:rFonts w:hint="eastAsia" w:ascii="宋体" w:hAnsi="宋体"/>
                <w:sz w:val="24"/>
                <w:lang w:val="en-GB"/>
              </w:rPr>
            </w:pPr>
          </w:p>
        </w:tc>
        <w:tc>
          <w:tcPr>
            <w:tcW w:w="5291" w:type="dxa"/>
            <w:tcBorders>
              <w:top w:val="single" w:color="auto" w:sz="4" w:space="0"/>
              <w:bottom w:val="single" w:color="auto" w:sz="4" w:space="0"/>
            </w:tcBorders>
            <w:noWrap w:val="0"/>
            <w:vAlign w:val="center"/>
          </w:tcPr>
          <w:p>
            <w:pPr>
              <w:spacing w:line="360" w:lineRule="auto"/>
              <w:rPr>
                <w:rFonts w:hint="eastAsia" w:ascii="宋体" w:hAnsi="宋体"/>
                <w:sz w:val="24"/>
                <w:lang w:val="en-GB"/>
              </w:rPr>
            </w:pPr>
            <w:r>
              <w:rPr>
                <w:rFonts w:hint="eastAsia" w:ascii="宋体" w:hAnsi="宋体"/>
                <w:sz w:val="24"/>
                <w:lang w:val="en-GB"/>
              </w:rPr>
              <w:t>大写人民币：</w:t>
            </w:r>
          </w:p>
        </w:tc>
      </w:tr>
    </w:tbl>
    <w:p>
      <w:pPr>
        <w:pStyle w:val="2"/>
        <w:spacing w:line="360" w:lineRule="auto"/>
        <w:ind w:firstLine="0"/>
        <w:rPr>
          <w:rFonts w:hint="eastAsia"/>
        </w:rPr>
      </w:pPr>
    </w:p>
    <w:p>
      <w:pPr>
        <w:autoSpaceDE w:val="0"/>
        <w:autoSpaceDN w:val="0"/>
        <w:adjustRightInd w:val="0"/>
        <w:spacing w:line="360" w:lineRule="auto"/>
        <w:ind w:firstLine="480" w:firstLineChars="200"/>
        <w:jc w:val="left"/>
        <w:rPr>
          <w:rFonts w:ascii="宋体" w:hAnsi="宋体"/>
          <w:sz w:val="24"/>
          <w:lang w:val="en-GB"/>
        </w:rPr>
      </w:pPr>
      <w:r>
        <w:rPr>
          <w:rFonts w:hint="eastAsia" w:ascii="宋体" w:hAnsi="宋体"/>
          <w:sz w:val="24"/>
          <w:lang w:val="en-GB"/>
        </w:rPr>
        <w:t>备注：1、以上报价含税。</w:t>
      </w:r>
    </w:p>
    <w:p>
      <w:pPr>
        <w:autoSpaceDE w:val="0"/>
        <w:autoSpaceDN w:val="0"/>
        <w:adjustRightInd w:val="0"/>
        <w:spacing w:line="360" w:lineRule="auto"/>
        <w:ind w:firstLine="1200" w:firstLineChars="500"/>
        <w:jc w:val="left"/>
        <w:rPr>
          <w:rFonts w:ascii="宋体" w:hAnsi="宋体"/>
          <w:sz w:val="24"/>
          <w:lang w:val="en-GB"/>
        </w:rPr>
      </w:pPr>
      <w:r>
        <w:rPr>
          <w:rFonts w:ascii="宋体" w:hAnsi="宋体"/>
          <w:sz w:val="24"/>
          <w:lang w:val="en-GB"/>
        </w:rPr>
        <w:t>2</w:t>
      </w:r>
      <w:r>
        <w:rPr>
          <w:rFonts w:hint="eastAsia" w:ascii="宋体" w:hAnsi="宋体"/>
          <w:sz w:val="24"/>
          <w:lang w:val="en-GB"/>
        </w:rPr>
        <w:t>、含税报价不得超出最高限价。</w:t>
      </w:r>
    </w:p>
    <w:p>
      <w:pPr>
        <w:pStyle w:val="2"/>
        <w:ind w:firstLine="1200" w:firstLineChars="500"/>
        <w:rPr>
          <w:rFonts w:hint="eastAsia" w:ascii="宋体" w:hAnsi="宋体"/>
          <w:sz w:val="24"/>
          <w:lang w:val="en-GB"/>
        </w:rPr>
      </w:pPr>
      <w:r>
        <w:rPr>
          <w:rFonts w:ascii="宋体" w:hAnsi="宋体"/>
          <w:sz w:val="24"/>
          <w:lang w:val="en-GB"/>
        </w:rPr>
        <w:t>3</w:t>
      </w:r>
      <w:r>
        <w:rPr>
          <w:rFonts w:hint="eastAsia" w:ascii="宋体" w:hAnsi="宋体"/>
          <w:sz w:val="24"/>
          <w:lang w:val="en-GB"/>
        </w:rPr>
        <w:t>、暂定2021年至2023年保险费用为974.71万元。</w:t>
      </w:r>
    </w:p>
    <w:p>
      <w:pPr>
        <w:tabs>
          <w:tab w:val="left" w:pos="720"/>
        </w:tabs>
        <w:autoSpaceDE w:val="0"/>
        <w:autoSpaceDN w:val="0"/>
        <w:adjustRightInd w:val="0"/>
        <w:spacing w:line="360" w:lineRule="auto"/>
        <w:ind w:left="719" w:hanging="240"/>
        <w:rPr>
          <w:rFonts w:hint="eastAsia" w:ascii="宋体" w:hAnsi="宋体"/>
          <w:sz w:val="24"/>
          <w:lang w:val="en-GB"/>
        </w:rPr>
      </w:pPr>
    </w:p>
    <w:p>
      <w:pPr>
        <w:tabs>
          <w:tab w:val="left" w:pos="720"/>
        </w:tabs>
        <w:autoSpaceDE w:val="0"/>
        <w:autoSpaceDN w:val="0"/>
        <w:adjustRightInd w:val="0"/>
        <w:spacing w:line="360" w:lineRule="auto"/>
        <w:ind w:left="719" w:hanging="240"/>
        <w:rPr>
          <w:rFonts w:ascii="宋体" w:hAnsi="宋体"/>
        </w:rPr>
      </w:pPr>
    </w:p>
    <w:p>
      <w:pPr>
        <w:autoSpaceDE w:val="0"/>
        <w:autoSpaceDN w:val="0"/>
        <w:adjustRightInd w:val="0"/>
        <w:spacing w:line="360" w:lineRule="auto"/>
        <w:ind w:firstLine="4200"/>
        <w:rPr>
          <w:rFonts w:hint="eastAsia" w:ascii="宋体" w:hAnsi="宋体"/>
        </w:rPr>
      </w:pPr>
    </w:p>
    <w:p>
      <w:pPr>
        <w:autoSpaceDE w:val="0"/>
        <w:autoSpaceDN w:val="0"/>
        <w:adjustRightInd w:val="0"/>
        <w:spacing w:line="360" w:lineRule="auto"/>
        <w:ind w:firstLine="4253"/>
        <w:rPr>
          <w:rFonts w:ascii="宋体" w:hAnsi="宋体"/>
        </w:rPr>
      </w:pPr>
      <w:r>
        <w:rPr>
          <w:rFonts w:hint="eastAsia" w:ascii="宋体" w:hAnsi="宋体"/>
        </w:rPr>
        <w:t>法定代表人或授权委托人签字或盖章：</w:t>
      </w:r>
      <w:r>
        <w:rPr>
          <w:rFonts w:hint="eastAsia" w:ascii="宋体" w:hAnsi="宋体"/>
        </w:rPr>
        <w:tab/>
      </w:r>
    </w:p>
    <w:p>
      <w:pPr>
        <w:autoSpaceDE w:val="0"/>
        <w:autoSpaceDN w:val="0"/>
        <w:adjustRightInd w:val="0"/>
        <w:spacing w:line="360" w:lineRule="auto"/>
        <w:ind w:firstLine="4253"/>
        <w:rPr>
          <w:rFonts w:ascii="宋体" w:hAnsi="宋体"/>
        </w:rPr>
      </w:pPr>
      <w:r>
        <w:rPr>
          <w:rFonts w:hint="eastAsia" w:ascii="宋体" w:hAnsi="宋体"/>
        </w:rPr>
        <w:t>投标人（盖公章）：</w:t>
      </w:r>
    </w:p>
    <w:p>
      <w:pPr>
        <w:spacing w:line="360" w:lineRule="auto"/>
        <w:ind w:firstLine="4252" w:firstLineChars="2025"/>
        <w:rPr>
          <w:rFonts w:hint="eastAsia" w:ascii="宋体" w:hAnsi="宋体"/>
        </w:rPr>
      </w:pPr>
      <w:r>
        <w:rPr>
          <w:rFonts w:hint="eastAsia" w:ascii="宋体" w:hAnsi="宋体"/>
        </w:rPr>
        <w:t>日期：    年    月    日</w:t>
      </w:r>
    </w:p>
    <w:p>
      <w:pPr>
        <w:spacing w:line="360" w:lineRule="auto"/>
        <w:ind w:firstLine="4252" w:firstLineChars="2025"/>
        <w:rPr>
          <w:rFonts w:hint="eastAsia" w:ascii="宋体" w:hAnsi="宋体"/>
        </w:rPr>
      </w:pPr>
    </w:p>
    <w:p>
      <w:pPr>
        <w:pStyle w:val="9"/>
        <w:spacing w:line="360" w:lineRule="auto"/>
        <w:rPr>
          <w:rFonts w:ascii="宋体" w:hAnsi="宋体"/>
          <w:b/>
          <w:sz w:val="32"/>
          <w:szCs w:val="32"/>
        </w:rPr>
      </w:pPr>
    </w:p>
    <w:p/>
    <w:p>
      <w:pPr>
        <w:pStyle w:val="2"/>
      </w:pPr>
    </w:p>
    <w:p>
      <w:pPr>
        <w:pStyle w:val="2"/>
      </w:pPr>
    </w:p>
    <w:p>
      <w:pPr>
        <w:pStyle w:val="2"/>
        <w:ind w:firstLine="0"/>
        <w:rPr>
          <w:rFonts w:hint="eastAsia"/>
        </w:rPr>
      </w:pPr>
    </w:p>
    <w:p>
      <w:pPr>
        <w:pStyle w:val="9"/>
        <w:spacing w:line="360" w:lineRule="auto"/>
        <w:jc w:val="center"/>
        <w:rPr>
          <w:rFonts w:hint="eastAsia" w:ascii="宋体" w:hAnsi="宋体"/>
          <w:b/>
          <w:sz w:val="32"/>
          <w:szCs w:val="32"/>
        </w:rPr>
      </w:pPr>
    </w:p>
    <w:p>
      <w:pPr>
        <w:pStyle w:val="2"/>
      </w:pPr>
    </w:p>
    <w:p>
      <w:pPr>
        <w:pStyle w:val="2"/>
      </w:pPr>
    </w:p>
    <w:p>
      <w:pPr>
        <w:pStyle w:val="2"/>
        <w:rPr>
          <w:rFonts w:hint="eastAsia"/>
        </w:rPr>
      </w:pPr>
    </w:p>
    <w:p>
      <w:pPr>
        <w:spacing w:before="156" w:beforeLines="50" w:after="156" w:afterLines="50" w:line="360" w:lineRule="auto"/>
        <w:jc w:val="left"/>
        <w:rPr>
          <w:rFonts w:ascii="宋体" w:hAnsi="宋体" w:cs="宋体"/>
          <w:b/>
          <w:kern w:val="0"/>
          <w:sz w:val="24"/>
        </w:rPr>
      </w:pPr>
      <w:r>
        <w:rPr>
          <w:rFonts w:hint="eastAsia" w:ascii="宋体" w:hAnsi="宋体" w:cs="宋体"/>
          <w:b/>
          <w:kern w:val="0"/>
          <w:sz w:val="24"/>
        </w:rPr>
        <w:t>投标文件封面格式：</w:t>
      </w:r>
    </w:p>
    <w:p>
      <w:pPr>
        <w:spacing w:before="156" w:beforeLines="50" w:after="156" w:afterLines="50" w:line="360" w:lineRule="auto"/>
        <w:jc w:val="right"/>
        <w:rPr>
          <w:rFonts w:ascii="宋体" w:hAnsi="宋体" w:cs="宋体"/>
          <w:b/>
          <w:kern w:val="0"/>
          <w:sz w:val="36"/>
          <w:szCs w:val="36"/>
          <w:bdr w:val="single" w:color="auto" w:sz="4" w:space="0"/>
        </w:rPr>
      </w:pPr>
      <w:r>
        <w:rPr>
          <w:rFonts w:hint="eastAsia" w:ascii="宋体" w:hAnsi="宋体" w:cs="宋体"/>
          <w:b/>
          <w:kern w:val="0"/>
          <w:sz w:val="36"/>
          <w:szCs w:val="36"/>
          <w:bdr w:val="single" w:color="auto" w:sz="4" w:space="0"/>
        </w:rPr>
        <w:t>正本或副本</w:t>
      </w:r>
    </w:p>
    <w:p>
      <w:pPr>
        <w:spacing w:before="156" w:beforeLines="50" w:after="156" w:afterLines="50" w:line="360" w:lineRule="auto"/>
        <w:jc w:val="center"/>
        <w:rPr>
          <w:rFonts w:ascii="宋体" w:hAnsi="宋体" w:cs="宋体"/>
          <w:b/>
          <w:kern w:val="0"/>
          <w:sz w:val="36"/>
          <w:szCs w:val="36"/>
        </w:rPr>
      </w:pPr>
    </w:p>
    <w:p>
      <w:pPr>
        <w:tabs>
          <w:tab w:val="left" w:pos="9000"/>
        </w:tabs>
        <w:adjustRightInd w:val="0"/>
        <w:snapToGrid w:val="0"/>
        <w:spacing w:line="360" w:lineRule="auto"/>
        <w:jc w:val="center"/>
        <w:rPr>
          <w:rFonts w:ascii="宋体" w:hAnsi="宋体"/>
          <w:b/>
          <w:sz w:val="36"/>
          <w:szCs w:val="36"/>
        </w:rPr>
      </w:pPr>
    </w:p>
    <w:p>
      <w:pPr>
        <w:tabs>
          <w:tab w:val="left" w:pos="9000"/>
        </w:tabs>
        <w:adjustRightInd w:val="0"/>
        <w:snapToGrid w:val="0"/>
        <w:spacing w:line="360" w:lineRule="auto"/>
        <w:jc w:val="center"/>
        <w:rPr>
          <w:rFonts w:ascii="宋体" w:hAnsi="宋体"/>
          <w:b/>
          <w:sz w:val="36"/>
          <w:szCs w:val="36"/>
        </w:rPr>
      </w:pPr>
      <w:r>
        <w:rPr>
          <w:rFonts w:hint="eastAsia" w:ascii="宋体" w:hAnsi="宋体"/>
          <w:b/>
          <w:sz w:val="36"/>
          <w:szCs w:val="36"/>
          <w:u w:val="single"/>
        </w:rPr>
        <w:t xml:space="preserve">                   </w:t>
      </w:r>
      <w:r>
        <w:rPr>
          <w:rFonts w:hint="eastAsia" w:ascii="宋体" w:hAnsi="宋体"/>
          <w:b/>
          <w:sz w:val="36"/>
          <w:szCs w:val="36"/>
        </w:rPr>
        <w:t>项目</w:t>
      </w:r>
    </w:p>
    <w:p>
      <w:pPr>
        <w:spacing w:before="156" w:beforeLines="50" w:after="156" w:afterLines="50" w:line="360" w:lineRule="auto"/>
        <w:jc w:val="center"/>
        <w:rPr>
          <w:rFonts w:ascii="宋体" w:hAnsi="宋体"/>
          <w:b/>
          <w:sz w:val="48"/>
          <w:szCs w:val="48"/>
        </w:rPr>
      </w:pPr>
    </w:p>
    <w:p>
      <w:pPr>
        <w:spacing w:line="360" w:lineRule="auto"/>
        <w:rPr>
          <w:rFonts w:ascii="宋体" w:hAnsi="宋体"/>
          <w:b/>
          <w:sz w:val="28"/>
        </w:rPr>
      </w:pPr>
    </w:p>
    <w:p>
      <w:pPr>
        <w:spacing w:line="360" w:lineRule="auto"/>
        <w:jc w:val="center"/>
        <w:rPr>
          <w:rFonts w:ascii="宋体" w:hAnsi="宋体"/>
          <w:sz w:val="32"/>
        </w:rPr>
      </w:pPr>
    </w:p>
    <w:p>
      <w:pPr>
        <w:spacing w:line="360" w:lineRule="auto"/>
        <w:jc w:val="center"/>
        <w:rPr>
          <w:rFonts w:ascii="宋体" w:hAnsi="宋体"/>
          <w:b/>
          <w:sz w:val="72"/>
          <w:szCs w:val="72"/>
        </w:rPr>
      </w:pPr>
      <w:r>
        <w:rPr>
          <w:rFonts w:hint="eastAsia" w:ascii="宋体" w:hAnsi="宋体"/>
          <w:b/>
          <w:sz w:val="72"/>
          <w:szCs w:val="72"/>
        </w:rPr>
        <w:t>投标文件</w:t>
      </w:r>
    </w:p>
    <w:p>
      <w:pPr>
        <w:spacing w:line="360" w:lineRule="auto"/>
        <w:jc w:val="center"/>
        <w:rPr>
          <w:rFonts w:ascii="宋体" w:hAnsi="宋体"/>
          <w:sz w:val="32"/>
        </w:rPr>
      </w:pPr>
      <w:r>
        <w:rPr>
          <w:rFonts w:hint="eastAsia" w:ascii="宋体" w:hAnsi="宋体"/>
          <w:sz w:val="32"/>
        </w:rPr>
        <w:t>技术资信(含资格审查资料)</w:t>
      </w:r>
    </w:p>
    <w:p>
      <w:pPr>
        <w:spacing w:line="360" w:lineRule="auto"/>
        <w:jc w:val="center"/>
        <w:rPr>
          <w:rFonts w:ascii="宋体" w:hAnsi="宋体"/>
          <w:sz w:val="32"/>
        </w:rPr>
      </w:pPr>
    </w:p>
    <w:p>
      <w:pPr>
        <w:spacing w:line="360" w:lineRule="auto"/>
        <w:rPr>
          <w:rFonts w:ascii="宋体" w:hAnsi="宋体"/>
          <w:sz w:val="32"/>
        </w:rPr>
      </w:pPr>
    </w:p>
    <w:p>
      <w:pPr>
        <w:spacing w:line="360" w:lineRule="auto"/>
        <w:rPr>
          <w:rFonts w:ascii="宋体" w:hAnsi="宋体"/>
          <w:sz w:val="32"/>
        </w:rPr>
      </w:pPr>
    </w:p>
    <w:p>
      <w:pPr>
        <w:spacing w:line="360" w:lineRule="auto"/>
        <w:jc w:val="center"/>
        <w:rPr>
          <w:rFonts w:ascii="宋体" w:hAnsi="宋体"/>
          <w:sz w:val="32"/>
        </w:rPr>
      </w:pPr>
    </w:p>
    <w:p>
      <w:pPr>
        <w:pStyle w:val="9"/>
        <w:spacing w:line="360" w:lineRule="auto"/>
        <w:ind w:firstLine="1129" w:firstLineChars="353"/>
        <w:jc w:val="left"/>
        <w:rPr>
          <w:rFonts w:ascii="宋体" w:hAnsi="宋体"/>
          <w:sz w:val="32"/>
          <w:szCs w:val="32"/>
        </w:rPr>
      </w:pPr>
      <w:r>
        <w:rPr>
          <w:rFonts w:hint="eastAsia" w:ascii="宋体" w:hAnsi="宋体"/>
          <w:sz w:val="32"/>
          <w:szCs w:val="32"/>
        </w:rPr>
        <w:t>投标人：（盖章）</w:t>
      </w:r>
    </w:p>
    <w:p>
      <w:pPr>
        <w:pStyle w:val="9"/>
        <w:spacing w:line="360" w:lineRule="auto"/>
        <w:ind w:firstLine="1129" w:firstLineChars="353"/>
        <w:jc w:val="left"/>
        <w:rPr>
          <w:rFonts w:ascii="宋体" w:hAnsi="宋体"/>
          <w:sz w:val="32"/>
          <w:szCs w:val="32"/>
        </w:rPr>
      </w:pPr>
      <w:r>
        <w:rPr>
          <w:rFonts w:hint="eastAsia" w:ascii="宋体" w:hAnsi="宋体"/>
          <w:sz w:val="32"/>
          <w:szCs w:val="32"/>
        </w:rPr>
        <w:t>法定代表人或授权委托人：（签字或盖章）</w:t>
      </w:r>
    </w:p>
    <w:p>
      <w:pPr>
        <w:pStyle w:val="9"/>
        <w:spacing w:line="360" w:lineRule="auto"/>
        <w:jc w:val="center"/>
        <w:rPr>
          <w:rFonts w:ascii="宋体" w:hAnsi="宋体"/>
          <w:sz w:val="32"/>
          <w:szCs w:val="32"/>
        </w:rPr>
      </w:pPr>
    </w:p>
    <w:p>
      <w:pPr>
        <w:pStyle w:val="9"/>
        <w:spacing w:line="360" w:lineRule="auto"/>
        <w:jc w:val="center"/>
        <w:rPr>
          <w:rFonts w:ascii="宋体" w:hAnsi="宋体"/>
          <w:sz w:val="32"/>
          <w:szCs w:val="32"/>
        </w:rPr>
      </w:pPr>
      <w:r>
        <w:rPr>
          <w:rFonts w:hint="eastAsia" w:ascii="宋体" w:hAnsi="宋体"/>
          <w:sz w:val="32"/>
          <w:szCs w:val="32"/>
        </w:rPr>
        <w:t>二○  年  月  日</w:t>
      </w:r>
    </w:p>
    <w:p>
      <w:pPr>
        <w:spacing w:line="360" w:lineRule="auto"/>
      </w:pPr>
    </w:p>
    <w:p>
      <w:pPr>
        <w:spacing w:line="360" w:lineRule="auto"/>
        <w:jc w:val="center"/>
        <w:rPr>
          <w:rFonts w:hint="eastAsia" w:ascii="宋体" w:hAnsi="宋体"/>
          <w:b/>
          <w:kern w:val="0"/>
          <w:sz w:val="30"/>
          <w:szCs w:val="30"/>
          <w:lang w:val="zh-CN"/>
        </w:rPr>
      </w:pPr>
    </w:p>
    <w:p>
      <w:pPr>
        <w:pStyle w:val="2"/>
        <w:rPr>
          <w:rFonts w:hint="eastAsia"/>
          <w:lang w:val="zh-CN"/>
        </w:rPr>
      </w:pPr>
    </w:p>
    <w:p>
      <w:pPr>
        <w:pStyle w:val="2"/>
        <w:rPr>
          <w:rFonts w:hint="eastAsia"/>
          <w:lang w:val="zh-CN"/>
        </w:rPr>
      </w:pPr>
    </w:p>
    <w:p>
      <w:pPr>
        <w:pStyle w:val="2"/>
        <w:rPr>
          <w:rFonts w:hint="eastAsia"/>
          <w:lang w:val="zh-CN"/>
        </w:rPr>
      </w:pPr>
    </w:p>
    <w:p>
      <w:pPr>
        <w:spacing w:line="360" w:lineRule="auto"/>
        <w:rPr>
          <w:rFonts w:hint="eastAsia" w:ascii="宋体" w:hAnsi="宋体"/>
          <w:b/>
          <w:kern w:val="0"/>
          <w:sz w:val="30"/>
          <w:szCs w:val="30"/>
          <w:lang w:val="zh-CN"/>
        </w:rPr>
      </w:pPr>
    </w:p>
    <w:p>
      <w:pPr>
        <w:spacing w:line="360" w:lineRule="auto"/>
        <w:jc w:val="center"/>
        <w:rPr>
          <w:rFonts w:ascii="宋体" w:hAnsi="宋体"/>
          <w:b/>
          <w:kern w:val="0"/>
          <w:sz w:val="30"/>
          <w:szCs w:val="30"/>
          <w:lang w:val="zh-CN"/>
        </w:rPr>
      </w:pPr>
      <w:r>
        <w:rPr>
          <w:rFonts w:hint="eastAsia" w:ascii="宋体" w:hAnsi="宋体"/>
          <w:b/>
          <w:kern w:val="0"/>
          <w:sz w:val="30"/>
          <w:szCs w:val="30"/>
          <w:lang w:val="zh-CN"/>
        </w:rPr>
        <w:t>授权委托书</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ind w:firstLine="576"/>
        <w:rPr>
          <w:rFonts w:ascii="宋体" w:hAnsi="宋体"/>
          <w:kern w:val="0"/>
          <w:sz w:val="24"/>
          <w:lang w:val="zh-CN"/>
        </w:rPr>
      </w:pPr>
    </w:p>
    <w:p>
      <w:pPr>
        <w:adjustRightInd w:val="0"/>
        <w:snapToGrid w:val="0"/>
        <w:spacing w:line="360" w:lineRule="auto"/>
        <w:ind w:firstLine="576"/>
        <w:rPr>
          <w:rFonts w:ascii="宋体" w:hAnsi="宋体"/>
          <w:kern w:val="0"/>
          <w:szCs w:val="21"/>
        </w:rPr>
      </w:pPr>
      <w:r>
        <w:rPr>
          <w:rFonts w:hint="eastAsia" w:ascii="宋体" w:hAnsi="宋体"/>
          <w:kern w:val="0"/>
          <w:szCs w:val="21"/>
          <w:lang w:val="zh-CN"/>
        </w:rPr>
        <w:t>兹委派我公司</w:t>
      </w:r>
      <w:r>
        <w:rPr>
          <w:rFonts w:hint="eastAsia" w:ascii="宋体" w:hAnsi="宋体"/>
          <w:kern w:val="0"/>
          <w:szCs w:val="21"/>
          <w:u w:val="single"/>
        </w:rPr>
        <w:t xml:space="preserve">        </w:t>
      </w:r>
      <w:r>
        <w:rPr>
          <w:rFonts w:hint="eastAsia" w:ascii="宋体" w:hAnsi="宋体"/>
          <w:kern w:val="0"/>
          <w:szCs w:val="21"/>
          <w:lang w:val="zh-CN"/>
        </w:rPr>
        <w:t>先生/女士(身份证号：</w:t>
      </w:r>
      <w:r>
        <w:rPr>
          <w:rFonts w:hint="eastAsia" w:ascii="宋体" w:hAnsi="宋体"/>
          <w:kern w:val="0"/>
          <w:szCs w:val="21"/>
          <w:u w:val="single"/>
        </w:rPr>
        <w:t xml:space="preserve">        </w:t>
      </w:r>
      <w:r>
        <w:rPr>
          <w:rFonts w:hint="eastAsia" w:ascii="宋体" w:hAnsi="宋体"/>
          <w:kern w:val="0"/>
          <w:szCs w:val="21"/>
          <w:lang w:val="zh-CN"/>
        </w:rPr>
        <w:t>，其在本公司的职务是：</w:t>
      </w:r>
      <w:r>
        <w:rPr>
          <w:rFonts w:hint="eastAsia" w:ascii="宋体" w:hAnsi="宋体"/>
          <w:kern w:val="0"/>
          <w:szCs w:val="21"/>
          <w:u w:val="single"/>
        </w:rPr>
        <w:t xml:space="preserve">        </w:t>
      </w:r>
      <w:r>
        <w:rPr>
          <w:rFonts w:hint="eastAsia" w:ascii="宋体" w:hAnsi="宋体"/>
          <w:kern w:val="0"/>
          <w:szCs w:val="21"/>
          <w:lang w:val="zh-CN"/>
        </w:rPr>
        <w:t xml:space="preserve"> ，联系电话：</w:t>
      </w:r>
      <w:r>
        <w:rPr>
          <w:rFonts w:hint="eastAsia" w:ascii="宋体" w:hAnsi="宋体"/>
          <w:kern w:val="0"/>
          <w:szCs w:val="21"/>
          <w:u w:val="single"/>
        </w:rPr>
        <w:t xml:space="preserve">        </w:t>
      </w:r>
      <w:r>
        <w:rPr>
          <w:rFonts w:hint="eastAsia" w:ascii="宋体" w:hAnsi="宋体"/>
          <w:kern w:val="0"/>
          <w:szCs w:val="21"/>
          <w:lang w:val="zh-CN"/>
        </w:rPr>
        <w:t>手机：</w:t>
      </w:r>
      <w:r>
        <w:rPr>
          <w:rFonts w:hint="eastAsia" w:ascii="宋体" w:hAnsi="宋体"/>
          <w:kern w:val="0"/>
          <w:szCs w:val="21"/>
          <w:u w:val="single"/>
        </w:rPr>
        <w:t xml:space="preserve">        </w:t>
      </w:r>
      <w:r>
        <w:rPr>
          <w:rFonts w:hint="eastAsia" w:ascii="宋体" w:hAnsi="宋体"/>
          <w:kern w:val="0"/>
          <w:szCs w:val="21"/>
          <w:lang w:val="zh-CN"/>
        </w:rPr>
        <w:t>传真：</w:t>
      </w:r>
      <w:r>
        <w:rPr>
          <w:rFonts w:hint="eastAsia" w:ascii="宋体" w:hAnsi="宋体"/>
          <w:kern w:val="0"/>
          <w:szCs w:val="21"/>
          <w:u w:val="single"/>
        </w:rPr>
        <w:t xml:space="preserve">        </w:t>
      </w:r>
      <w:r>
        <w:rPr>
          <w:rFonts w:hint="eastAsia" w:ascii="宋体" w:hAnsi="宋体"/>
          <w:kern w:val="0"/>
          <w:szCs w:val="21"/>
          <w:lang w:val="zh-CN"/>
        </w:rPr>
        <w:t>)，代表我公司全权处理</w:t>
      </w:r>
      <w:r>
        <w:rPr>
          <w:rFonts w:hint="eastAsia" w:ascii="宋体" w:hAnsi="宋体"/>
          <w:kern w:val="0"/>
          <w:szCs w:val="21"/>
          <w:u w:val="single"/>
        </w:rPr>
        <w:t xml:space="preserve">                           </w:t>
      </w:r>
      <w:r>
        <w:rPr>
          <w:rFonts w:hint="eastAsia" w:ascii="宋体" w:hAnsi="宋体"/>
          <w:szCs w:val="21"/>
        </w:rPr>
        <w:t>项目</w:t>
      </w:r>
      <w:r>
        <w:rPr>
          <w:rFonts w:hint="eastAsia" w:ascii="宋体" w:hAnsi="宋体"/>
          <w:kern w:val="0"/>
          <w:szCs w:val="21"/>
          <w:lang w:val="zh-CN"/>
        </w:rPr>
        <w:t>投标的一切事项，若中标则全权代表本公司签订相关合同，并负责处理合同履行等事宜。</w:t>
      </w:r>
    </w:p>
    <w:p>
      <w:pPr>
        <w:adjustRightInd w:val="0"/>
        <w:snapToGrid w:val="0"/>
        <w:spacing w:line="360" w:lineRule="auto"/>
        <w:rPr>
          <w:rFonts w:ascii="宋体" w:hAnsi="宋体"/>
          <w:kern w:val="0"/>
          <w:szCs w:val="21"/>
          <w:lang w:val="zh-CN"/>
        </w:rPr>
      </w:pPr>
      <w:r>
        <w:rPr>
          <w:rFonts w:hint="eastAsia" w:ascii="宋体" w:hAnsi="宋体"/>
          <w:kern w:val="0"/>
          <w:szCs w:val="21"/>
          <w:lang w:val="zh-CN"/>
        </w:rPr>
        <w:t xml:space="preserve">    本委托书有效期：自    年 月  日起至    年  月  日止。</w:t>
      </w:r>
    </w:p>
    <w:p>
      <w:pPr>
        <w:adjustRightInd w:val="0"/>
        <w:snapToGrid w:val="0"/>
        <w:spacing w:line="360" w:lineRule="auto"/>
        <w:rPr>
          <w:rFonts w:ascii="宋体" w:hAnsi="宋体"/>
          <w:kern w:val="0"/>
          <w:szCs w:val="21"/>
        </w:rPr>
      </w:pPr>
      <w:r>
        <w:rPr>
          <w:rFonts w:hint="eastAsia" w:ascii="宋体" w:hAnsi="宋体"/>
          <w:kern w:val="0"/>
          <w:szCs w:val="21"/>
          <w:lang w:val="zh-CN"/>
        </w:rPr>
        <w:t xml:space="preserve">    特此告知。</w:t>
      </w:r>
    </w:p>
    <w:p>
      <w:pPr>
        <w:adjustRightInd w:val="0"/>
        <w:snapToGrid w:val="0"/>
        <w:spacing w:line="360" w:lineRule="auto"/>
        <w:rPr>
          <w:rFonts w:ascii="宋体" w:hAnsi="宋体"/>
          <w:kern w:val="0"/>
          <w:szCs w:val="21"/>
        </w:rPr>
      </w:pPr>
    </w:p>
    <w:p>
      <w:pPr>
        <w:adjustRightInd w:val="0"/>
        <w:snapToGrid w:val="0"/>
        <w:spacing w:line="360" w:lineRule="auto"/>
        <w:rPr>
          <w:rFonts w:ascii="宋体" w:hAnsi="宋体"/>
          <w:kern w:val="0"/>
          <w:szCs w:val="21"/>
        </w:rPr>
      </w:pPr>
      <w:r>
        <w:rPr>
          <w:rFonts w:hint="eastAsia" w:ascii="宋体" w:hAnsi="宋体"/>
          <w:kern w:val="0"/>
          <w:szCs w:val="21"/>
          <w:lang w:val="zh-CN"/>
        </w:rPr>
        <w:t xml:space="preserve">                                                  投标人名称(公章)：</w:t>
      </w:r>
    </w:p>
    <w:p>
      <w:pPr>
        <w:adjustRightInd w:val="0"/>
        <w:snapToGrid w:val="0"/>
        <w:spacing w:line="360" w:lineRule="auto"/>
        <w:rPr>
          <w:rFonts w:ascii="宋体" w:hAnsi="宋体"/>
          <w:kern w:val="0"/>
          <w:szCs w:val="21"/>
        </w:rPr>
      </w:pPr>
      <w:r>
        <w:rPr>
          <w:rFonts w:hint="eastAsia" w:ascii="宋体" w:hAnsi="宋体"/>
          <w:kern w:val="0"/>
          <w:szCs w:val="21"/>
          <w:lang w:val="zh-CN"/>
        </w:rPr>
        <w:t xml:space="preserve">                                                  法定代表人(签字或盖章)：</w:t>
      </w:r>
    </w:p>
    <w:p>
      <w:pPr>
        <w:adjustRightInd w:val="0"/>
        <w:snapToGrid w:val="0"/>
        <w:spacing w:line="360" w:lineRule="auto"/>
        <w:ind w:firstLine="5250" w:firstLineChars="2500"/>
        <w:rPr>
          <w:rFonts w:ascii="宋体" w:hAnsi="宋体"/>
          <w:kern w:val="0"/>
          <w:szCs w:val="21"/>
          <w:lang w:val="zh-CN"/>
        </w:rPr>
      </w:pPr>
      <w:r>
        <w:rPr>
          <w:rFonts w:hint="eastAsia" w:ascii="宋体" w:hAnsi="宋体"/>
          <w:kern w:val="0"/>
          <w:szCs w:val="21"/>
          <w:lang w:val="zh-CN"/>
        </w:rPr>
        <w:t>签发日期：    年  月   日</w:t>
      </w: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ascii="宋体" w:hAnsi="宋体"/>
          <w:kern w:val="0"/>
          <w:szCs w:val="21"/>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tabs>
          <w:tab w:val="left" w:pos="7480"/>
        </w:tabs>
        <w:snapToGrid w:val="0"/>
        <w:spacing w:line="440" w:lineRule="exact"/>
        <w:jc w:val="center"/>
        <w:rPr>
          <w:rFonts w:ascii="宋体" w:hAnsi="宋体" w:cs="宋体"/>
          <w:b/>
          <w:sz w:val="24"/>
        </w:rPr>
      </w:pPr>
      <w:r>
        <w:rPr>
          <w:rFonts w:hint="eastAsia" w:ascii="宋体" w:hAnsi="宋体" w:cs="宋体"/>
          <w:b/>
          <w:sz w:val="24"/>
        </w:rPr>
        <w:t>拟派本项目的主要人员组成响应表</w:t>
      </w:r>
    </w:p>
    <w:p>
      <w:pPr>
        <w:pStyle w:val="2"/>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1613"/>
        <w:gridCol w:w="1613"/>
        <w:gridCol w:w="1614"/>
        <w:gridCol w:w="1616"/>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b/>
                <w:bCs/>
                <w:sz w:val="24"/>
              </w:rPr>
            </w:pPr>
            <w:r>
              <w:rPr>
                <w:rFonts w:hint="eastAsia" w:ascii="宋体" w:hAnsi="宋体" w:cs="宋体"/>
                <w:b/>
                <w:bCs/>
                <w:sz w:val="24"/>
              </w:rPr>
              <w:t>序号</w:t>
            </w:r>
          </w:p>
        </w:tc>
        <w:tc>
          <w:tcPr>
            <w:tcW w:w="1613" w:type="dxa"/>
            <w:noWrap w:val="0"/>
            <w:vAlign w:val="center"/>
          </w:tcPr>
          <w:p>
            <w:pPr>
              <w:spacing w:line="440" w:lineRule="exact"/>
              <w:jc w:val="center"/>
              <w:rPr>
                <w:rFonts w:hint="eastAsia" w:ascii="宋体" w:hAnsi="宋体" w:cs="宋体"/>
                <w:b/>
                <w:bCs/>
                <w:sz w:val="24"/>
              </w:rPr>
            </w:pPr>
            <w:r>
              <w:rPr>
                <w:rFonts w:hint="eastAsia" w:ascii="宋体" w:hAnsi="宋体" w:cs="宋体"/>
                <w:b/>
                <w:bCs/>
                <w:sz w:val="24"/>
              </w:rPr>
              <w:t>姓名</w:t>
            </w:r>
          </w:p>
        </w:tc>
        <w:tc>
          <w:tcPr>
            <w:tcW w:w="1613" w:type="dxa"/>
            <w:noWrap w:val="0"/>
            <w:vAlign w:val="center"/>
          </w:tcPr>
          <w:p>
            <w:pPr>
              <w:spacing w:line="440" w:lineRule="exact"/>
              <w:jc w:val="center"/>
              <w:rPr>
                <w:rFonts w:hint="eastAsia" w:ascii="宋体" w:hAnsi="宋体" w:cs="宋体"/>
                <w:b/>
                <w:bCs/>
                <w:sz w:val="24"/>
              </w:rPr>
            </w:pPr>
            <w:r>
              <w:rPr>
                <w:rFonts w:hint="eastAsia" w:ascii="宋体" w:hAnsi="宋体" w:cs="宋体"/>
                <w:b/>
                <w:bCs/>
                <w:sz w:val="24"/>
              </w:rPr>
              <w:t>年龄</w:t>
            </w:r>
          </w:p>
        </w:tc>
        <w:tc>
          <w:tcPr>
            <w:tcW w:w="1614" w:type="dxa"/>
            <w:noWrap w:val="0"/>
            <w:vAlign w:val="center"/>
          </w:tcPr>
          <w:p>
            <w:pPr>
              <w:spacing w:line="440" w:lineRule="exact"/>
              <w:jc w:val="center"/>
              <w:rPr>
                <w:rFonts w:hint="eastAsia" w:ascii="宋体" w:hAnsi="宋体" w:cs="宋体"/>
                <w:b/>
                <w:bCs/>
                <w:sz w:val="24"/>
              </w:rPr>
            </w:pPr>
            <w:r>
              <w:rPr>
                <w:rFonts w:hint="eastAsia" w:ascii="宋体" w:hAnsi="宋体" w:cs="宋体"/>
                <w:b/>
                <w:bCs/>
                <w:sz w:val="24"/>
              </w:rPr>
              <w:t>职称</w:t>
            </w:r>
          </w:p>
        </w:tc>
        <w:tc>
          <w:tcPr>
            <w:tcW w:w="1616" w:type="dxa"/>
            <w:noWrap w:val="0"/>
            <w:vAlign w:val="center"/>
          </w:tcPr>
          <w:p>
            <w:pPr>
              <w:spacing w:line="440" w:lineRule="exact"/>
              <w:jc w:val="center"/>
              <w:rPr>
                <w:rFonts w:hint="eastAsia" w:ascii="宋体" w:hAnsi="宋体" w:cs="宋体"/>
                <w:b/>
                <w:bCs/>
                <w:sz w:val="24"/>
              </w:rPr>
            </w:pPr>
            <w:r>
              <w:rPr>
                <w:rFonts w:hint="eastAsia" w:ascii="宋体" w:hAnsi="宋体" w:cs="宋体"/>
                <w:b/>
                <w:bCs/>
                <w:sz w:val="24"/>
              </w:rPr>
              <w:t>拟任岗位</w:t>
            </w:r>
          </w:p>
        </w:tc>
        <w:tc>
          <w:tcPr>
            <w:tcW w:w="1475" w:type="dxa"/>
            <w:noWrap w:val="0"/>
            <w:vAlign w:val="center"/>
          </w:tcPr>
          <w:p>
            <w:pPr>
              <w:spacing w:line="440" w:lineRule="exact"/>
              <w:jc w:val="center"/>
              <w:rPr>
                <w:rFonts w:hint="eastAsia"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r>
              <w:rPr>
                <w:rFonts w:hint="eastAsia" w:ascii="宋体" w:hAnsi="宋体" w:cs="宋体"/>
                <w:sz w:val="24"/>
              </w:rPr>
              <w:t>项目负责人</w:t>
            </w: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09"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3" w:type="dxa"/>
            <w:noWrap w:val="0"/>
            <w:vAlign w:val="center"/>
          </w:tcPr>
          <w:p>
            <w:pPr>
              <w:spacing w:line="440" w:lineRule="exact"/>
              <w:jc w:val="center"/>
              <w:rPr>
                <w:rFonts w:hint="eastAsia" w:ascii="宋体" w:hAnsi="宋体" w:cs="宋体"/>
                <w:sz w:val="24"/>
              </w:rPr>
            </w:pPr>
          </w:p>
        </w:tc>
        <w:tc>
          <w:tcPr>
            <w:tcW w:w="1614" w:type="dxa"/>
            <w:noWrap w:val="0"/>
            <w:vAlign w:val="center"/>
          </w:tcPr>
          <w:p>
            <w:pPr>
              <w:spacing w:line="440" w:lineRule="exact"/>
              <w:jc w:val="center"/>
              <w:rPr>
                <w:rFonts w:hint="eastAsia" w:ascii="宋体" w:hAnsi="宋体" w:cs="宋体"/>
                <w:sz w:val="24"/>
              </w:rPr>
            </w:pPr>
          </w:p>
        </w:tc>
        <w:tc>
          <w:tcPr>
            <w:tcW w:w="1616" w:type="dxa"/>
            <w:noWrap w:val="0"/>
            <w:vAlign w:val="center"/>
          </w:tcPr>
          <w:p>
            <w:pPr>
              <w:spacing w:line="440" w:lineRule="exact"/>
              <w:jc w:val="center"/>
              <w:rPr>
                <w:rFonts w:hint="eastAsia" w:ascii="宋体" w:hAnsi="宋体" w:cs="宋体"/>
                <w:sz w:val="24"/>
              </w:rPr>
            </w:pPr>
          </w:p>
        </w:tc>
        <w:tc>
          <w:tcPr>
            <w:tcW w:w="1475" w:type="dxa"/>
            <w:noWrap w:val="0"/>
            <w:vAlign w:val="center"/>
          </w:tcPr>
          <w:p>
            <w:pPr>
              <w:spacing w:line="440" w:lineRule="exact"/>
              <w:jc w:val="center"/>
              <w:rPr>
                <w:rFonts w:hint="eastAsia" w:ascii="宋体" w:hAnsi="宋体" w:cs="宋体"/>
                <w:sz w:val="24"/>
              </w:rPr>
            </w:pPr>
          </w:p>
        </w:tc>
      </w:tr>
    </w:tbl>
    <w:p>
      <w:pPr>
        <w:adjustRightInd w:val="0"/>
        <w:snapToGrid w:val="0"/>
        <w:spacing w:line="400" w:lineRule="exact"/>
        <w:jc w:val="center"/>
        <w:rPr>
          <w:rFonts w:hint="eastAsia" w:ascii="宋体" w:hAnsi="宋体" w:cs="宋体"/>
          <w:b/>
          <w:sz w:val="24"/>
        </w:rPr>
      </w:pPr>
    </w:p>
    <w:p>
      <w:pPr>
        <w:spacing w:line="360" w:lineRule="auto"/>
        <w:ind w:firstLine="420"/>
        <w:rPr>
          <w:rFonts w:hint="eastAsia" w:ascii="宋体" w:hAnsi="宋体" w:cs="宋体"/>
          <w:sz w:val="24"/>
        </w:rPr>
      </w:pPr>
      <w:r>
        <w:rPr>
          <w:rFonts w:hint="eastAsia" w:ascii="宋体" w:hAnsi="宋体" w:cs="宋体"/>
          <w:sz w:val="24"/>
        </w:rPr>
        <w:t>投 标 人 名 称：</w:t>
      </w:r>
      <w:r>
        <w:rPr>
          <w:rFonts w:hint="eastAsia" w:ascii="宋体" w:hAnsi="宋体" w:cs="宋体"/>
          <w:sz w:val="24"/>
          <w:u w:val="single"/>
        </w:rPr>
        <w:t xml:space="preserve">                       </w:t>
      </w:r>
      <w:r>
        <w:rPr>
          <w:rFonts w:hint="eastAsia" w:ascii="宋体" w:hAnsi="宋体" w:cs="宋体"/>
          <w:sz w:val="24"/>
        </w:rPr>
        <w:t>（盖单位公章）</w:t>
      </w:r>
    </w:p>
    <w:p>
      <w:pPr>
        <w:spacing w:line="360" w:lineRule="auto"/>
        <w:ind w:firstLine="420"/>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ind w:firstLine="420"/>
        <w:rPr>
          <w:rFonts w:hint="eastAsia" w:ascii="宋体" w:hAnsi="宋体" w:cs="宋体"/>
          <w:sz w:val="24"/>
        </w:rPr>
      </w:pPr>
      <w:bookmarkStart w:id="33" w:name="_Toc9745"/>
      <w:bookmarkStart w:id="34" w:name="_Toc10458"/>
      <w:bookmarkStart w:id="35" w:name="_Toc9058"/>
      <w:bookmarkStart w:id="36" w:name="_Toc23933"/>
      <w:bookmarkStart w:id="37" w:name="_Toc16474"/>
      <w:bookmarkStart w:id="38" w:name="_Toc21012"/>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33"/>
      <w:bookmarkEnd w:id="34"/>
      <w:bookmarkEnd w:id="35"/>
      <w:bookmarkEnd w:id="36"/>
      <w:bookmarkEnd w:id="37"/>
      <w:bookmarkEnd w:id="38"/>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jc w:val="center"/>
        <w:rPr>
          <w:rFonts w:ascii="仿宋" w:hAnsi="仿宋" w:eastAsia="仿宋"/>
          <w:b/>
          <w:sz w:val="32"/>
          <w:szCs w:val="32"/>
        </w:rPr>
      </w:pPr>
      <w:r>
        <w:rPr>
          <w:rFonts w:hint="eastAsia" w:ascii="仿宋" w:hAnsi="仿宋" w:eastAsia="仿宋"/>
          <w:b/>
          <w:sz w:val="32"/>
          <w:szCs w:val="32"/>
        </w:rPr>
        <w:t>主营业务收入</w:t>
      </w:r>
    </w:p>
    <w:p>
      <w:pPr>
        <w:jc w:val="center"/>
        <w:rPr>
          <w:b/>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noWrap w:val="0"/>
            <w:vAlign w:val="top"/>
          </w:tcPr>
          <w:p>
            <w:pPr>
              <w:jc w:val="center"/>
              <w:rPr>
                <w:rFonts w:ascii="仿宋" w:hAnsi="仿宋" w:eastAsia="仿宋"/>
                <w:b/>
                <w:sz w:val="28"/>
                <w:szCs w:val="28"/>
              </w:rPr>
            </w:pPr>
            <w:r>
              <w:rPr>
                <w:rFonts w:hint="eastAsia" w:ascii="仿宋" w:hAnsi="仿宋" w:eastAsia="仿宋"/>
                <w:b/>
                <w:sz w:val="28"/>
                <w:szCs w:val="28"/>
              </w:rPr>
              <w:t>年  份</w:t>
            </w:r>
          </w:p>
        </w:tc>
        <w:tc>
          <w:tcPr>
            <w:tcW w:w="4784" w:type="dxa"/>
            <w:noWrap w:val="0"/>
            <w:vAlign w:val="top"/>
          </w:tcPr>
          <w:p>
            <w:pPr>
              <w:jc w:val="center"/>
              <w:rPr>
                <w:rFonts w:ascii="仿宋" w:hAnsi="仿宋" w:eastAsia="仿宋"/>
                <w:b/>
                <w:sz w:val="28"/>
                <w:szCs w:val="28"/>
              </w:rPr>
            </w:pPr>
            <w:r>
              <w:rPr>
                <w:rFonts w:hint="eastAsia" w:ascii="仿宋" w:hAnsi="仿宋" w:eastAsia="仿宋"/>
                <w:b/>
                <w:sz w:val="28"/>
                <w:szCs w:val="28"/>
              </w:rPr>
              <w:t>归属浙江省内主营业务收入（万元）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noWrap w:val="0"/>
            <w:vAlign w:val="top"/>
          </w:tcPr>
          <w:p>
            <w:pPr>
              <w:jc w:val="center"/>
              <w:rPr>
                <w:rFonts w:ascii="仿宋" w:hAnsi="仿宋" w:eastAsia="仿宋"/>
                <w:sz w:val="28"/>
                <w:szCs w:val="28"/>
              </w:rPr>
            </w:pPr>
            <w:r>
              <w:rPr>
                <w:rFonts w:hint="eastAsia" w:ascii="仿宋" w:hAnsi="仿宋" w:eastAsia="仿宋"/>
                <w:sz w:val="28"/>
                <w:szCs w:val="28"/>
              </w:rPr>
              <w:t>201</w:t>
            </w:r>
            <w:r>
              <w:rPr>
                <w:rFonts w:ascii="仿宋" w:hAnsi="仿宋" w:eastAsia="仿宋"/>
                <w:sz w:val="28"/>
                <w:szCs w:val="28"/>
              </w:rPr>
              <w:t>8</w:t>
            </w:r>
            <w:r>
              <w:rPr>
                <w:rFonts w:hint="eastAsia" w:ascii="仿宋" w:hAnsi="仿宋" w:eastAsia="仿宋"/>
                <w:sz w:val="28"/>
                <w:szCs w:val="28"/>
              </w:rPr>
              <w:t>年度</w:t>
            </w:r>
          </w:p>
        </w:tc>
        <w:tc>
          <w:tcPr>
            <w:tcW w:w="4784" w:type="dxa"/>
            <w:noWrap w:val="0"/>
            <w:vAlign w:val="top"/>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noWrap w:val="0"/>
            <w:vAlign w:val="top"/>
          </w:tcPr>
          <w:p>
            <w:pPr>
              <w:jc w:val="center"/>
              <w:rPr>
                <w:rFonts w:ascii="仿宋" w:hAnsi="仿宋" w:eastAsia="仿宋"/>
                <w:sz w:val="28"/>
                <w:szCs w:val="28"/>
              </w:rPr>
            </w:pPr>
            <w:r>
              <w:rPr>
                <w:rFonts w:hint="eastAsia" w:ascii="仿宋" w:hAnsi="仿宋" w:eastAsia="仿宋"/>
                <w:sz w:val="28"/>
                <w:szCs w:val="28"/>
              </w:rPr>
              <w:t>201</w:t>
            </w:r>
            <w:r>
              <w:rPr>
                <w:rFonts w:ascii="仿宋" w:hAnsi="仿宋" w:eastAsia="仿宋"/>
                <w:sz w:val="28"/>
                <w:szCs w:val="28"/>
              </w:rPr>
              <w:t>9</w:t>
            </w:r>
            <w:r>
              <w:rPr>
                <w:rFonts w:hint="eastAsia" w:ascii="仿宋" w:hAnsi="仿宋" w:eastAsia="仿宋"/>
                <w:sz w:val="28"/>
                <w:szCs w:val="28"/>
              </w:rPr>
              <w:t>年度</w:t>
            </w:r>
          </w:p>
        </w:tc>
        <w:tc>
          <w:tcPr>
            <w:tcW w:w="4784" w:type="dxa"/>
            <w:noWrap w:val="0"/>
            <w:vAlign w:val="top"/>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noWrap w:val="0"/>
            <w:vAlign w:val="top"/>
          </w:tcPr>
          <w:p>
            <w:pPr>
              <w:jc w:val="center"/>
              <w:rPr>
                <w:rFonts w:ascii="仿宋" w:hAnsi="仿宋" w:eastAsia="仿宋"/>
                <w:sz w:val="28"/>
                <w:szCs w:val="28"/>
              </w:rPr>
            </w:pPr>
            <w:r>
              <w:rPr>
                <w:rFonts w:hint="eastAsia" w:ascii="仿宋" w:hAnsi="仿宋" w:eastAsia="仿宋"/>
                <w:sz w:val="28"/>
                <w:szCs w:val="28"/>
              </w:rPr>
              <w:t>20</w:t>
            </w:r>
            <w:r>
              <w:rPr>
                <w:rFonts w:ascii="仿宋" w:hAnsi="仿宋" w:eastAsia="仿宋"/>
                <w:sz w:val="28"/>
                <w:szCs w:val="28"/>
              </w:rPr>
              <w:t>20</w:t>
            </w:r>
            <w:r>
              <w:rPr>
                <w:rFonts w:hint="eastAsia" w:ascii="仿宋" w:hAnsi="仿宋" w:eastAsia="仿宋"/>
                <w:sz w:val="28"/>
                <w:szCs w:val="28"/>
              </w:rPr>
              <w:t>年度</w:t>
            </w:r>
          </w:p>
        </w:tc>
        <w:tc>
          <w:tcPr>
            <w:tcW w:w="4784" w:type="dxa"/>
            <w:noWrap w:val="0"/>
            <w:vAlign w:val="top"/>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noWrap w:val="0"/>
            <w:vAlign w:val="top"/>
          </w:tcPr>
          <w:p>
            <w:pPr>
              <w:jc w:val="center"/>
              <w:rPr>
                <w:rFonts w:ascii="仿宋" w:hAnsi="仿宋" w:eastAsia="仿宋"/>
                <w:b/>
                <w:sz w:val="28"/>
                <w:szCs w:val="28"/>
              </w:rPr>
            </w:pPr>
            <w:r>
              <w:rPr>
                <w:rFonts w:hint="eastAsia" w:ascii="仿宋" w:hAnsi="仿宋" w:eastAsia="仿宋"/>
                <w:b/>
                <w:sz w:val="28"/>
                <w:szCs w:val="28"/>
              </w:rPr>
              <w:t>三年总主营业务收入</w:t>
            </w:r>
          </w:p>
        </w:tc>
        <w:tc>
          <w:tcPr>
            <w:tcW w:w="4784" w:type="dxa"/>
            <w:noWrap w:val="0"/>
            <w:vAlign w:val="top"/>
          </w:tcPr>
          <w:p>
            <w:pPr>
              <w:rPr>
                <w:rFonts w:ascii="仿宋" w:hAnsi="仿宋" w:eastAsia="仿宋"/>
                <w:b/>
                <w:sz w:val="28"/>
                <w:szCs w:val="28"/>
              </w:rPr>
            </w:pPr>
          </w:p>
        </w:tc>
      </w:tr>
    </w:tbl>
    <w:p>
      <w:pPr>
        <w:rPr>
          <w:b/>
          <w:sz w:val="32"/>
          <w:szCs w:val="32"/>
        </w:rPr>
      </w:pPr>
    </w:p>
    <w:p>
      <w:pPr>
        <w:jc w:val="center"/>
        <w:rPr>
          <w:rFonts w:ascii="仿宋" w:hAnsi="仿宋" w:eastAsia="仿宋"/>
          <w:sz w:val="28"/>
          <w:szCs w:val="28"/>
        </w:rPr>
      </w:pPr>
      <w:r>
        <w:rPr>
          <w:rFonts w:hint="eastAsia" w:ascii="仿宋" w:hAnsi="仿宋" w:eastAsia="仿宋"/>
          <w:sz w:val="28"/>
          <w:szCs w:val="28"/>
        </w:rPr>
        <w:t>（注：须提供经审计过的审计报告）</w:t>
      </w:r>
    </w:p>
    <w:p>
      <w:pPr>
        <w:jc w:val="center"/>
        <w:rPr>
          <w:rFonts w:ascii="仿宋" w:hAnsi="仿宋" w:eastAsia="仿宋"/>
          <w:sz w:val="28"/>
          <w:szCs w:val="28"/>
        </w:rPr>
      </w:pPr>
    </w:p>
    <w:p>
      <w:pPr>
        <w:spacing w:line="360" w:lineRule="auto"/>
        <w:ind w:firstLine="420"/>
        <w:rPr>
          <w:rFonts w:hint="eastAsia" w:ascii="宋体" w:hAnsi="宋体" w:cs="宋体"/>
          <w:sz w:val="24"/>
        </w:rPr>
      </w:pPr>
      <w:r>
        <w:rPr>
          <w:rFonts w:hint="eastAsia" w:ascii="宋体" w:hAnsi="宋体" w:cs="宋体"/>
          <w:sz w:val="24"/>
        </w:rPr>
        <w:t>投 标 人 名 称：</w:t>
      </w:r>
      <w:r>
        <w:rPr>
          <w:rFonts w:hint="eastAsia" w:ascii="宋体" w:hAnsi="宋体" w:cs="宋体"/>
          <w:sz w:val="24"/>
          <w:u w:val="single"/>
        </w:rPr>
        <w:t xml:space="preserve">                       </w:t>
      </w:r>
      <w:r>
        <w:rPr>
          <w:rFonts w:hint="eastAsia" w:ascii="宋体" w:hAnsi="宋体" w:cs="宋体"/>
          <w:sz w:val="24"/>
        </w:rPr>
        <w:t>（盖单位公章）</w:t>
      </w:r>
    </w:p>
    <w:p>
      <w:pPr>
        <w:spacing w:line="360" w:lineRule="auto"/>
        <w:ind w:firstLine="420"/>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ind w:firstLine="42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b/>
          <w:sz w:val="32"/>
          <w:szCs w:val="32"/>
        </w:rPr>
      </w:pPr>
    </w:p>
    <w:p>
      <w:pPr>
        <w:widowControl/>
        <w:jc w:val="left"/>
        <w:rPr>
          <w:rFonts w:ascii="仿宋" w:hAnsi="仿宋" w:eastAsia="仿宋"/>
          <w:b/>
          <w:sz w:val="32"/>
          <w:szCs w:val="32"/>
        </w:rPr>
      </w:pPr>
      <w:r>
        <w:rPr>
          <w:b/>
          <w:sz w:val="32"/>
          <w:szCs w:val="32"/>
        </w:rPr>
        <w:br w:type="page"/>
      </w:r>
    </w:p>
    <w:p>
      <w:pPr>
        <w:pStyle w:val="14"/>
        <w:spacing w:after="312" w:afterLines="100"/>
        <w:ind w:firstLine="0" w:firstLineChars="0"/>
        <w:jc w:val="center"/>
        <w:outlineLvl w:val="1"/>
        <w:rPr>
          <w:rFonts w:ascii="仿宋" w:hAnsi="仿宋" w:eastAsia="仿宋"/>
          <w:b/>
          <w:sz w:val="32"/>
          <w:szCs w:val="32"/>
        </w:rPr>
      </w:pPr>
      <w:bookmarkStart w:id="39" w:name="_Toc63697497"/>
      <w:r>
        <w:rPr>
          <w:rFonts w:hint="eastAsia" w:ascii="仿宋" w:hAnsi="仿宋" w:eastAsia="仿宋"/>
          <w:b/>
          <w:sz w:val="32"/>
          <w:szCs w:val="32"/>
        </w:rPr>
        <w:t>保险经纪或顾问服务业绩</w:t>
      </w:r>
      <w:bookmarkEnd w:id="39"/>
    </w:p>
    <w:p>
      <w:pPr>
        <w:tabs>
          <w:tab w:val="left" w:pos="0"/>
        </w:tabs>
        <w:spacing w:before="156" w:beforeLines="50" w:line="360" w:lineRule="auto"/>
        <w:jc w:val="center"/>
        <w:rPr>
          <w:rFonts w:ascii="仿宋" w:hAnsi="仿宋" w:eastAsia="仿宋"/>
          <w:b/>
          <w:sz w:val="24"/>
        </w:rPr>
      </w:pPr>
    </w:p>
    <w:tbl>
      <w:tblPr>
        <w:tblStyle w:val="1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37"/>
        <w:gridCol w:w="2409"/>
        <w:gridCol w:w="194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765" w:type="dxa"/>
            <w:noWrap w:val="0"/>
            <w:vAlign w:val="center"/>
          </w:tcPr>
          <w:p>
            <w:pPr>
              <w:jc w:val="center"/>
              <w:rPr>
                <w:rFonts w:ascii="仿宋" w:hAnsi="仿宋" w:eastAsia="仿宋"/>
                <w:b/>
                <w:sz w:val="24"/>
              </w:rPr>
            </w:pPr>
            <w:r>
              <w:rPr>
                <w:rFonts w:hint="eastAsia" w:ascii="仿宋" w:hAnsi="仿宋" w:eastAsia="仿宋"/>
                <w:b/>
                <w:sz w:val="24"/>
              </w:rPr>
              <w:t>序号</w:t>
            </w:r>
          </w:p>
        </w:tc>
        <w:tc>
          <w:tcPr>
            <w:tcW w:w="2037" w:type="dxa"/>
            <w:noWrap w:val="0"/>
            <w:vAlign w:val="center"/>
          </w:tcPr>
          <w:p>
            <w:pPr>
              <w:jc w:val="center"/>
              <w:rPr>
                <w:rFonts w:ascii="仿宋" w:hAnsi="仿宋" w:eastAsia="仿宋"/>
                <w:b/>
                <w:sz w:val="24"/>
              </w:rPr>
            </w:pPr>
            <w:r>
              <w:rPr>
                <w:rFonts w:hint="eastAsia" w:ascii="仿宋" w:hAnsi="仿宋" w:eastAsia="仿宋"/>
                <w:b/>
                <w:sz w:val="24"/>
              </w:rPr>
              <w:t>投保人</w:t>
            </w:r>
          </w:p>
        </w:tc>
        <w:tc>
          <w:tcPr>
            <w:tcW w:w="2409" w:type="dxa"/>
            <w:noWrap w:val="0"/>
            <w:vAlign w:val="center"/>
          </w:tcPr>
          <w:p>
            <w:pPr>
              <w:jc w:val="center"/>
              <w:rPr>
                <w:rFonts w:ascii="仿宋" w:hAnsi="仿宋" w:eastAsia="仿宋"/>
                <w:b/>
                <w:sz w:val="24"/>
              </w:rPr>
            </w:pPr>
            <w:r>
              <w:rPr>
                <w:rFonts w:hint="eastAsia" w:ascii="仿宋" w:hAnsi="仿宋" w:eastAsia="仿宋"/>
                <w:b/>
                <w:sz w:val="24"/>
              </w:rPr>
              <w:t>项目名称</w:t>
            </w:r>
          </w:p>
        </w:tc>
        <w:tc>
          <w:tcPr>
            <w:tcW w:w="1941" w:type="dxa"/>
            <w:noWrap w:val="0"/>
            <w:vAlign w:val="center"/>
          </w:tcPr>
          <w:p>
            <w:pPr>
              <w:jc w:val="center"/>
              <w:rPr>
                <w:rFonts w:ascii="仿宋" w:hAnsi="仿宋" w:eastAsia="仿宋"/>
                <w:b/>
                <w:sz w:val="24"/>
              </w:rPr>
            </w:pPr>
            <w:r>
              <w:rPr>
                <w:rFonts w:hint="eastAsia" w:ascii="仿宋" w:hAnsi="仿宋" w:eastAsia="仿宋"/>
                <w:b/>
                <w:sz w:val="24"/>
              </w:rPr>
              <w:t>项目时间</w:t>
            </w:r>
          </w:p>
        </w:tc>
        <w:tc>
          <w:tcPr>
            <w:tcW w:w="1899" w:type="dxa"/>
            <w:noWrap w:val="0"/>
            <w:vAlign w:val="center"/>
          </w:tcPr>
          <w:p>
            <w:pPr>
              <w:jc w:val="center"/>
              <w:rPr>
                <w:rFonts w:ascii="仿宋" w:hAnsi="仿宋" w:eastAsia="仿宋"/>
                <w:b/>
                <w:sz w:val="24"/>
              </w:rPr>
            </w:pPr>
            <w:r>
              <w:rPr>
                <w:rFonts w:hint="eastAsia" w:ascii="仿宋" w:hAnsi="仿宋" w:eastAsia="仿宋"/>
                <w:b/>
                <w:sz w:val="24"/>
              </w:rPr>
              <w:t>项目所在城市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765" w:type="dxa"/>
            <w:noWrap w:val="0"/>
            <w:vAlign w:val="center"/>
          </w:tcPr>
          <w:p>
            <w:pPr>
              <w:jc w:val="center"/>
              <w:rPr>
                <w:rFonts w:ascii="仿宋" w:hAnsi="仿宋" w:eastAsia="仿宋"/>
                <w:sz w:val="24"/>
              </w:rPr>
            </w:pPr>
            <w:r>
              <w:rPr>
                <w:rFonts w:hint="eastAsia" w:ascii="仿宋" w:hAnsi="仿宋" w:eastAsia="仿宋"/>
                <w:sz w:val="24"/>
              </w:rPr>
              <w:t>1</w:t>
            </w:r>
          </w:p>
        </w:tc>
        <w:tc>
          <w:tcPr>
            <w:tcW w:w="2037" w:type="dxa"/>
            <w:noWrap w:val="0"/>
            <w:vAlign w:val="center"/>
          </w:tcPr>
          <w:p>
            <w:pPr>
              <w:jc w:val="left"/>
              <w:rPr>
                <w:rFonts w:ascii="仿宋" w:hAnsi="仿宋" w:eastAsia="仿宋"/>
                <w:sz w:val="24"/>
              </w:rPr>
            </w:pPr>
          </w:p>
        </w:tc>
        <w:tc>
          <w:tcPr>
            <w:tcW w:w="2409" w:type="dxa"/>
            <w:noWrap w:val="0"/>
            <w:vAlign w:val="top"/>
          </w:tcPr>
          <w:p>
            <w:pPr>
              <w:jc w:val="left"/>
              <w:rPr>
                <w:rFonts w:ascii="仿宋" w:hAnsi="仿宋" w:eastAsia="仿宋"/>
                <w:sz w:val="24"/>
              </w:rPr>
            </w:pPr>
          </w:p>
        </w:tc>
        <w:tc>
          <w:tcPr>
            <w:tcW w:w="1941" w:type="dxa"/>
            <w:noWrap w:val="0"/>
            <w:vAlign w:val="center"/>
          </w:tcPr>
          <w:p>
            <w:pPr>
              <w:jc w:val="left"/>
              <w:rPr>
                <w:rFonts w:ascii="仿宋" w:hAnsi="仿宋" w:eastAsia="仿宋"/>
                <w:sz w:val="24"/>
              </w:rPr>
            </w:pPr>
          </w:p>
        </w:tc>
        <w:tc>
          <w:tcPr>
            <w:tcW w:w="1899" w:type="dxa"/>
            <w:noWrap w:val="0"/>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765" w:type="dxa"/>
            <w:noWrap w:val="0"/>
            <w:vAlign w:val="center"/>
          </w:tcPr>
          <w:p>
            <w:pPr>
              <w:jc w:val="center"/>
              <w:rPr>
                <w:rFonts w:ascii="仿宋" w:hAnsi="仿宋" w:eastAsia="仿宋"/>
                <w:sz w:val="24"/>
              </w:rPr>
            </w:pPr>
            <w:r>
              <w:rPr>
                <w:rFonts w:hint="eastAsia" w:ascii="仿宋" w:hAnsi="仿宋" w:eastAsia="仿宋"/>
                <w:sz w:val="24"/>
              </w:rPr>
              <w:t>2</w:t>
            </w:r>
          </w:p>
        </w:tc>
        <w:tc>
          <w:tcPr>
            <w:tcW w:w="2037" w:type="dxa"/>
            <w:noWrap w:val="0"/>
            <w:vAlign w:val="center"/>
          </w:tcPr>
          <w:p>
            <w:pPr>
              <w:jc w:val="left"/>
              <w:rPr>
                <w:rFonts w:ascii="仿宋" w:hAnsi="仿宋" w:eastAsia="仿宋"/>
                <w:sz w:val="24"/>
              </w:rPr>
            </w:pPr>
          </w:p>
        </w:tc>
        <w:tc>
          <w:tcPr>
            <w:tcW w:w="2409" w:type="dxa"/>
            <w:noWrap w:val="0"/>
            <w:vAlign w:val="top"/>
          </w:tcPr>
          <w:p>
            <w:pPr>
              <w:jc w:val="left"/>
              <w:rPr>
                <w:rFonts w:ascii="仿宋" w:hAnsi="仿宋" w:eastAsia="仿宋"/>
                <w:sz w:val="24"/>
              </w:rPr>
            </w:pPr>
          </w:p>
        </w:tc>
        <w:tc>
          <w:tcPr>
            <w:tcW w:w="1941" w:type="dxa"/>
            <w:noWrap w:val="0"/>
            <w:vAlign w:val="center"/>
          </w:tcPr>
          <w:p>
            <w:pPr>
              <w:jc w:val="left"/>
              <w:rPr>
                <w:rFonts w:ascii="仿宋" w:hAnsi="仿宋" w:eastAsia="仿宋"/>
                <w:sz w:val="24"/>
              </w:rPr>
            </w:pPr>
          </w:p>
        </w:tc>
        <w:tc>
          <w:tcPr>
            <w:tcW w:w="1899" w:type="dxa"/>
            <w:noWrap w:val="0"/>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765" w:type="dxa"/>
            <w:noWrap w:val="0"/>
            <w:vAlign w:val="center"/>
          </w:tcPr>
          <w:p>
            <w:pPr>
              <w:jc w:val="center"/>
              <w:rPr>
                <w:rFonts w:ascii="仿宋" w:hAnsi="仿宋" w:eastAsia="仿宋"/>
                <w:sz w:val="24"/>
              </w:rPr>
            </w:pPr>
            <w:r>
              <w:rPr>
                <w:rFonts w:hint="eastAsia" w:ascii="仿宋" w:hAnsi="仿宋" w:eastAsia="仿宋"/>
                <w:sz w:val="24"/>
              </w:rPr>
              <w:t>3</w:t>
            </w:r>
          </w:p>
        </w:tc>
        <w:tc>
          <w:tcPr>
            <w:tcW w:w="2037" w:type="dxa"/>
            <w:noWrap w:val="0"/>
            <w:vAlign w:val="center"/>
          </w:tcPr>
          <w:p>
            <w:pPr>
              <w:jc w:val="left"/>
              <w:rPr>
                <w:rFonts w:ascii="仿宋" w:hAnsi="仿宋" w:eastAsia="仿宋"/>
                <w:sz w:val="24"/>
              </w:rPr>
            </w:pPr>
          </w:p>
        </w:tc>
        <w:tc>
          <w:tcPr>
            <w:tcW w:w="2409" w:type="dxa"/>
            <w:noWrap w:val="0"/>
            <w:vAlign w:val="top"/>
          </w:tcPr>
          <w:p>
            <w:pPr>
              <w:jc w:val="left"/>
              <w:rPr>
                <w:rFonts w:ascii="仿宋" w:hAnsi="仿宋" w:eastAsia="仿宋"/>
                <w:sz w:val="24"/>
              </w:rPr>
            </w:pPr>
          </w:p>
        </w:tc>
        <w:tc>
          <w:tcPr>
            <w:tcW w:w="1941" w:type="dxa"/>
            <w:noWrap w:val="0"/>
            <w:vAlign w:val="center"/>
          </w:tcPr>
          <w:p>
            <w:pPr>
              <w:jc w:val="left"/>
              <w:rPr>
                <w:rFonts w:ascii="仿宋" w:hAnsi="仿宋" w:eastAsia="仿宋"/>
                <w:sz w:val="24"/>
              </w:rPr>
            </w:pPr>
          </w:p>
        </w:tc>
        <w:tc>
          <w:tcPr>
            <w:tcW w:w="1899" w:type="dxa"/>
            <w:noWrap w:val="0"/>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765" w:type="dxa"/>
            <w:noWrap w:val="0"/>
            <w:vAlign w:val="center"/>
          </w:tcPr>
          <w:p>
            <w:pPr>
              <w:jc w:val="center"/>
              <w:rPr>
                <w:rFonts w:ascii="仿宋" w:hAnsi="仿宋" w:eastAsia="仿宋"/>
                <w:sz w:val="24"/>
              </w:rPr>
            </w:pPr>
            <w:r>
              <w:rPr>
                <w:rFonts w:hint="eastAsia" w:ascii="仿宋" w:hAnsi="仿宋" w:eastAsia="仿宋"/>
                <w:sz w:val="24"/>
              </w:rPr>
              <w:t>4</w:t>
            </w:r>
          </w:p>
        </w:tc>
        <w:tc>
          <w:tcPr>
            <w:tcW w:w="2037" w:type="dxa"/>
            <w:noWrap w:val="0"/>
            <w:vAlign w:val="center"/>
          </w:tcPr>
          <w:p>
            <w:pPr>
              <w:jc w:val="left"/>
              <w:rPr>
                <w:rFonts w:ascii="仿宋" w:hAnsi="仿宋" w:eastAsia="仿宋"/>
                <w:sz w:val="24"/>
              </w:rPr>
            </w:pPr>
          </w:p>
        </w:tc>
        <w:tc>
          <w:tcPr>
            <w:tcW w:w="2409" w:type="dxa"/>
            <w:noWrap w:val="0"/>
            <w:vAlign w:val="top"/>
          </w:tcPr>
          <w:p>
            <w:pPr>
              <w:jc w:val="left"/>
              <w:rPr>
                <w:rFonts w:ascii="仿宋" w:hAnsi="仿宋" w:eastAsia="仿宋"/>
                <w:sz w:val="24"/>
              </w:rPr>
            </w:pPr>
          </w:p>
        </w:tc>
        <w:tc>
          <w:tcPr>
            <w:tcW w:w="1941" w:type="dxa"/>
            <w:noWrap w:val="0"/>
            <w:vAlign w:val="center"/>
          </w:tcPr>
          <w:p>
            <w:pPr>
              <w:jc w:val="left"/>
              <w:rPr>
                <w:rFonts w:ascii="仿宋" w:hAnsi="仿宋" w:eastAsia="仿宋"/>
                <w:sz w:val="24"/>
              </w:rPr>
            </w:pPr>
          </w:p>
        </w:tc>
        <w:tc>
          <w:tcPr>
            <w:tcW w:w="1899" w:type="dxa"/>
            <w:noWrap w:val="0"/>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765" w:type="dxa"/>
            <w:noWrap w:val="0"/>
            <w:vAlign w:val="center"/>
          </w:tcPr>
          <w:p>
            <w:pPr>
              <w:jc w:val="center"/>
              <w:rPr>
                <w:rFonts w:ascii="仿宋" w:hAnsi="仿宋" w:eastAsia="仿宋"/>
                <w:sz w:val="24"/>
              </w:rPr>
            </w:pPr>
            <w:r>
              <w:rPr>
                <w:rFonts w:hint="eastAsia" w:ascii="仿宋" w:hAnsi="仿宋" w:eastAsia="仿宋"/>
                <w:sz w:val="24"/>
              </w:rPr>
              <w:t>…</w:t>
            </w:r>
          </w:p>
        </w:tc>
        <w:tc>
          <w:tcPr>
            <w:tcW w:w="2037" w:type="dxa"/>
            <w:noWrap w:val="0"/>
            <w:vAlign w:val="center"/>
          </w:tcPr>
          <w:p>
            <w:pPr>
              <w:jc w:val="left"/>
              <w:rPr>
                <w:rFonts w:ascii="仿宋" w:hAnsi="仿宋" w:eastAsia="仿宋"/>
                <w:sz w:val="24"/>
              </w:rPr>
            </w:pPr>
          </w:p>
        </w:tc>
        <w:tc>
          <w:tcPr>
            <w:tcW w:w="2409" w:type="dxa"/>
            <w:noWrap w:val="0"/>
            <w:vAlign w:val="top"/>
          </w:tcPr>
          <w:p>
            <w:pPr>
              <w:jc w:val="left"/>
              <w:rPr>
                <w:rFonts w:ascii="仿宋" w:hAnsi="仿宋" w:eastAsia="仿宋"/>
                <w:sz w:val="24"/>
              </w:rPr>
            </w:pPr>
          </w:p>
        </w:tc>
        <w:tc>
          <w:tcPr>
            <w:tcW w:w="1941" w:type="dxa"/>
            <w:noWrap w:val="0"/>
            <w:vAlign w:val="center"/>
          </w:tcPr>
          <w:p>
            <w:pPr>
              <w:jc w:val="left"/>
              <w:rPr>
                <w:rFonts w:ascii="仿宋" w:hAnsi="仿宋" w:eastAsia="仿宋"/>
                <w:sz w:val="24"/>
              </w:rPr>
            </w:pPr>
          </w:p>
        </w:tc>
        <w:tc>
          <w:tcPr>
            <w:tcW w:w="1899" w:type="dxa"/>
            <w:noWrap w:val="0"/>
            <w:vAlign w:val="center"/>
          </w:tcPr>
          <w:p>
            <w:pPr>
              <w:jc w:val="left"/>
              <w:rPr>
                <w:rFonts w:ascii="仿宋" w:hAnsi="仿宋" w:eastAsia="仿宋"/>
                <w:sz w:val="24"/>
              </w:rPr>
            </w:pPr>
          </w:p>
        </w:tc>
      </w:tr>
    </w:tbl>
    <w:p>
      <w:pPr>
        <w:spacing w:line="360" w:lineRule="auto"/>
        <w:rPr>
          <w:rFonts w:ascii="仿宋" w:hAnsi="仿宋" w:eastAsia="仿宋"/>
          <w:sz w:val="24"/>
          <w:szCs w:val="28"/>
        </w:rPr>
      </w:pPr>
      <w:r>
        <w:rPr>
          <w:rFonts w:hint="eastAsia" w:ascii="仿宋" w:hAnsi="仿宋" w:eastAsia="仿宋"/>
          <w:sz w:val="24"/>
          <w:szCs w:val="28"/>
        </w:rPr>
        <w:t>（表格不够，自行扩展）</w:t>
      </w:r>
    </w:p>
    <w:p>
      <w:pPr>
        <w:spacing w:line="360" w:lineRule="auto"/>
        <w:ind w:firstLine="480" w:firstLineChars="200"/>
        <w:rPr>
          <w:rFonts w:ascii="仿宋" w:hAnsi="仿宋" w:eastAsia="仿宋"/>
          <w:sz w:val="24"/>
          <w:szCs w:val="28"/>
        </w:rPr>
      </w:pPr>
      <w:r>
        <w:rPr>
          <w:rFonts w:hint="eastAsia" w:ascii="仿宋" w:hAnsi="仿宋" w:eastAsia="仿宋"/>
          <w:sz w:val="24"/>
          <w:szCs w:val="28"/>
        </w:rPr>
        <w:t>注</w:t>
      </w:r>
      <w:r>
        <w:rPr>
          <w:rFonts w:ascii="仿宋" w:hAnsi="仿宋" w:eastAsia="仿宋"/>
          <w:sz w:val="24"/>
          <w:szCs w:val="28"/>
        </w:rPr>
        <w:t>：</w:t>
      </w:r>
      <w:r>
        <w:rPr>
          <w:rFonts w:hint="eastAsia" w:ascii="仿宋" w:hAnsi="仿宋" w:eastAsia="仿宋"/>
          <w:sz w:val="24"/>
          <w:szCs w:val="28"/>
        </w:rPr>
        <w:t>投标人</w:t>
      </w:r>
      <w:r>
        <w:rPr>
          <w:rFonts w:ascii="仿宋" w:hAnsi="仿宋" w:eastAsia="仿宋"/>
          <w:sz w:val="24"/>
          <w:szCs w:val="28"/>
        </w:rPr>
        <w:t>就</w:t>
      </w:r>
      <w:r>
        <w:rPr>
          <w:rFonts w:hint="eastAsia" w:ascii="仿宋" w:hAnsi="仿宋" w:eastAsia="仿宋"/>
          <w:sz w:val="24"/>
          <w:szCs w:val="28"/>
        </w:rPr>
        <w:t>其列举</w:t>
      </w:r>
      <w:r>
        <w:rPr>
          <w:rFonts w:ascii="仿宋" w:hAnsi="仿宋" w:eastAsia="仿宋"/>
          <w:sz w:val="24"/>
          <w:szCs w:val="28"/>
        </w:rPr>
        <w:t>的每个项目提供相应的证明材料（例如客户授权委托书</w:t>
      </w:r>
      <w:r>
        <w:rPr>
          <w:rFonts w:hint="eastAsia" w:ascii="仿宋" w:hAnsi="仿宋" w:eastAsia="仿宋"/>
          <w:sz w:val="24"/>
          <w:szCs w:val="28"/>
        </w:rPr>
        <w:t>、风险管理顾问委托协议、</w:t>
      </w:r>
      <w:r>
        <w:rPr>
          <w:rFonts w:ascii="仿宋" w:hAnsi="仿宋" w:eastAsia="仿宋"/>
          <w:sz w:val="24"/>
          <w:szCs w:val="28"/>
        </w:rPr>
        <w:t>保单复印件等），否则</w:t>
      </w:r>
      <w:r>
        <w:rPr>
          <w:rFonts w:hint="eastAsia" w:ascii="仿宋" w:hAnsi="仿宋" w:eastAsia="仿宋"/>
          <w:sz w:val="24"/>
          <w:szCs w:val="28"/>
        </w:rPr>
        <w:t>该项</w:t>
      </w:r>
      <w:r>
        <w:rPr>
          <w:rFonts w:ascii="仿宋" w:hAnsi="仿宋" w:eastAsia="仿宋"/>
          <w:sz w:val="24"/>
          <w:szCs w:val="28"/>
        </w:rPr>
        <w:t>列举无效。</w:t>
      </w:r>
    </w:p>
    <w:p>
      <w:pPr>
        <w:spacing w:line="360" w:lineRule="auto"/>
        <w:ind w:firstLine="560" w:firstLineChars="200"/>
        <w:rPr>
          <w:rFonts w:ascii="仿宋" w:hAnsi="仿宋" w:eastAsia="仿宋"/>
          <w:sz w:val="28"/>
          <w:szCs w:val="28"/>
        </w:rPr>
      </w:pPr>
    </w:p>
    <w:p>
      <w:pPr>
        <w:spacing w:line="360" w:lineRule="auto"/>
        <w:ind w:firstLine="420"/>
        <w:rPr>
          <w:rFonts w:hint="eastAsia" w:ascii="宋体" w:hAnsi="宋体" w:cs="宋体"/>
          <w:sz w:val="24"/>
        </w:rPr>
      </w:pPr>
      <w:r>
        <w:rPr>
          <w:rFonts w:hint="eastAsia" w:ascii="宋体" w:hAnsi="宋体" w:cs="宋体"/>
          <w:sz w:val="24"/>
        </w:rPr>
        <w:t>投 标 人 名 称：</w:t>
      </w:r>
      <w:r>
        <w:rPr>
          <w:rFonts w:hint="eastAsia" w:ascii="宋体" w:hAnsi="宋体" w:cs="宋体"/>
          <w:sz w:val="24"/>
          <w:u w:val="single"/>
        </w:rPr>
        <w:t xml:space="preserve">                       </w:t>
      </w:r>
      <w:r>
        <w:rPr>
          <w:rFonts w:hint="eastAsia" w:ascii="宋体" w:hAnsi="宋体" w:cs="宋体"/>
          <w:sz w:val="24"/>
        </w:rPr>
        <w:t>（盖单位公章）</w:t>
      </w:r>
    </w:p>
    <w:p>
      <w:pPr>
        <w:spacing w:line="360" w:lineRule="auto"/>
        <w:ind w:firstLine="420"/>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ind w:firstLine="42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rPr>
      </w:pPr>
    </w:p>
    <w:p>
      <w:pPr>
        <w:adjustRightInd w:val="0"/>
        <w:snapToGrid w:val="0"/>
        <w:spacing w:line="360" w:lineRule="auto"/>
        <w:rPr>
          <w:rFonts w:ascii="宋体" w:hAnsi="宋体"/>
          <w:kern w:val="0"/>
          <w:szCs w:val="21"/>
          <w:lang w:val="zh-CN"/>
        </w:rPr>
      </w:pPr>
    </w:p>
    <w:p>
      <w:pPr>
        <w:adjustRightInd w:val="0"/>
        <w:snapToGrid w:val="0"/>
        <w:spacing w:line="360" w:lineRule="auto"/>
        <w:rPr>
          <w:rFonts w:hint="eastAsia" w:ascii="宋体" w:hAnsi="宋体"/>
          <w:kern w:val="0"/>
          <w:szCs w:val="21"/>
          <w:lang w:val="zh-CN"/>
        </w:rPr>
      </w:pPr>
    </w:p>
    <w:p>
      <w:bookmarkStart w:id="40" w:name="_GoBack"/>
      <w:bookmarkEnd w:id="4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v:imagedata o:title=""/>
              <o:lock v:ext="edit"/>
              <v:textbox inset="0mm,0mm,0mm,0mm" style="mso-fit-shape-to-text:t;">
                <w:txbxContent>
                  <w:p>
                    <w:pPr>
                      <w:pStyle w:val="8"/>
                    </w:pPr>
                    <w:r>
                      <w:rPr>
                        <w:rFonts w:hint="eastAsia"/>
                      </w:rPr>
                      <w:fldChar w:fldCharType="begin"/>
                    </w:r>
                    <w: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5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Body Text First Indent"/>
    <w:basedOn w:val="6"/>
    <w:qFormat/>
    <w:uiPriority w:val="0"/>
    <w:pPr>
      <w:ind w:firstLine="420" w:firstLineChars="100"/>
    </w:p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2021-04-23T09:38:08Z</dcterms:created>
  <dc:creator>kt</dc:creator>
  <cp:lastModifiedBy>阿康</cp:lastModifiedBy>
  <dcterms:modified xsi:type="dcterms:W3CDTF">2021-04-23T09:38:18Z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1AE0336423AA4E6C8F3AB0BFD72D3018</vt:lpwstr>
  </property>
</Properties>
</file>